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10" w:rsidRPr="00FC7510" w:rsidRDefault="00FC7510"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Context</w:t>
      </w:r>
    </w:p>
    <w:p w:rsidR="00FC7510" w:rsidRDefault="00FC7510"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2335F" w:rsidRPr="00FC7510" w:rsidRDefault="00FC7510"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420930">
        <w:rPr>
          <w:rFonts w:ascii="Times New Roman" w:hAnsi="Times New Roman" w:cs="Times New Roman"/>
          <w:sz w:val="24"/>
          <w:szCs w:val="24"/>
        </w:rPr>
        <w:tab/>
      </w:r>
      <w:r w:rsidR="00420930" w:rsidRPr="00FC7510">
        <w:rPr>
          <w:rFonts w:ascii="Times New Roman" w:hAnsi="Times New Roman" w:cs="Times New Roman"/>
          <w:sz w:val="24"/>
          <w:szCs w:val="24"/>
        </w:rPr>
        <w:t>The Cosmetics Directive has been amended 55 times. One of the key objectives of this proposal is to bring all 55 amendments together under one legal text.</w:t>
      </w:r>
      <w:r w:rsidR="00420930">
        <w:rPr>
          <w:rFonts w:ascii="Times New Roman" w:hAnsi="Times New Roman" w:cs="Times New Roman"/>
          <w:sz w:val="24"/>
          <w:szCs w:val="24"/>
        </w:rPr>
        <w:t xml:space="preserve"> These interest groups here put forth a proposal with three purposes:</w:t>
      </w:r>
    </w:p>
    <w:p w:rsidR="00D2335F" w:rsidRPr="00FC7510" w:rsidRDefault="00D2335F"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2335F" w:rsidRPr="00FC7510" w:rsidRDefault="00420930"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D2335F" w:rsidRPr="00FC7510">
        <w:rPr>
          <w:rFonts w:ascii="Times New Roman" w:hAnsi="Times New Roman" w:cs="Times New Roman"/>
          <w:sz w:val="24"/>
          <w:szCs w:val="24"/>
        </w:rPr>
        <w:t>To remove legal uncertainties and inconsistencies in cosmetic legislation.</w:t>
      </w:r>
      <w:proofErr w:type="gramEnd"/>
    </w:p>
    <w:p w:rsidR="00D2335F" w:rsidRPr="00FC7510" w:rsidRDefault="00D2335F"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FC7510">
        <w:rPr>
          <w:rFonts w:ascii="Times New Roman" w:hAnsi="Times New Roman" w:cs="Times New Roman"/>
          <w:sz w:val="24"/>
          <w:szCs w:val="24"/>
        </w:rPr>
        <w:t xml:space="preserve">    </w:t>
      </w:r>
      <w:proofErr w:type="gramStart"/>
      <w:r w:rsidRPr="00FC7510">
        <w:rPr>
          <w:rFonts w:ascii="Times New Roman" w:hAnsi="Times New Roman" w:cs="Times New Roman"/>
          <w:sz w:val="24"/>
          <w:szCs w:val="24"/>
        </w:rPr>
        <w:t>To avoid divergences in national transpositions.</w:t>
      </w:r>
      <w:proofErr w:type="gramEnd"/>
    </w:p>
    <w:p w:rsidR="00D2335F" w:rsidRPr="00FC7510" w:rsidRDefault="00D2335F"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FC7510">
        <w:rPr>
          <w:rFonts w:ascii="Times New Roman" w:hAnsi="Times New Roman" w:cs="Times New Roman"/>
          <w:sz w:val="24"/>
          <w:szCs w:val="24"/>
        </w:rPr>
        <w:t xml:space="preserve">    To ensure that cosmetic products placed on the EU market are safe.</w:t>
      </w:r>
      <w:r w:rsidR="00FC7510">
        <w:rPr>
          <w:rFonts w:ascii="Times New Roman" w:hAnsi="Times New Roman" w:cs="Times New Roman"/>
          <w:sz w:val="24"/>
          <w:szCs w:val="24"/>
        </w:rPr>
        <w:t>”</w:t>
      </w:r>
      <w:r w:rsidR="00FC7510">
        <w:rPr>
          <w:rStyle w:val="FootnoteReference"/>
          <w:rFonts w:ascii="Times New Roman" w:hAnsi="Times New Roman" w:cs="Times New Roman"/>
          <w:sz w:val="24"/>
          <w:szCs w:val="24"/>
        </w:rPr>
        <w:footnoteReference w:id="1"/>
      </w:r>
    </w:p>
    <w:p w:rsidR="00D2335F" w:rsidRPr="00FC7510" w:rsidRDefault="00D2335F"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2335F" w:rsidRPr="00FC7510" w:rsidRDefault="00420930"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In addition, a</w:t>
      </w:r>
      <w:r w:rsidR="00D2335F" w:rsidRPr="00FC7510">
        <w:rPr>
          <w:rFonts w:ascii="Times New Roman" w:hAnsi="Times New Roman" w:cs="Times New Roman"/>
          <w:sz w:val="24"/>
          <w:szCs w:val="24"/>
        </w:rPr>
        <w:t xml:space="preserve"> set of new definitions is being proposed. The present Directive contains virtually no legal definitions resulting in legal uncertainty and inconsistent </w:t>
      </w:r>
      <w:r w:rsidR="00BD2758">
        <w:rPr>
          <w:rFonts w:ascii="Times New Roman" w:hAnsi="Times New Roman" w:cs="Times New Roman"/>
          <w:sz w:val="24"/>
          <w:szCs w:val="24"/>
        </w:rPr>
        <w:t xml:space="preserve">compliance. The proposal offers </w:t>
      </w:r>
      <w:r w:rsidR="00D2335F" w:rsidRPr="00FC7510">
        <w:rPr>
          <w:rFonts w:ascii="Times New Roman" w:hAnsi="Times New Roman" w:cs="Times New Roman"/>
          <w:sz w:val="24"/>
          <w:szCs w:val="24"/>
        </w:rPr>
        <w:t>coherence with existing definitions particularly in the field of the free movement of good</w:t>
      </w:r>
      <w:r>
        <w:rPr>
          <w:rFonts w:ascii="Times New Roman" w:hAnsi="Times New Roman" w:cs="Times New Roman"/>
          <w:sz w:val="24"/>
          <w:szCs w:val="24"/>
        </w:rPr>
        <w:t>s</w:t>
      </w:r>
      <w:r w:rsidR="00D2335F" w:rsidRPr="00FC7510">
        <w:rPr>
          <w:rFonts w:ascii="Times New Roman" w:hAnsi="Times New Roman" w:cs="Times New Roman"/>
          <w:sz w:val="24"/>
          <w:szCs w:val="24"/>
        </w:rPr>
        <w:t>.</w:t>
      </w:r>
      <w:r w:rsidR="00BD2758">
        <w:rPr>
          <w:rFonts w:ascii="Times New Roman" w:hAnsi="Times New Roman" w:cs="Times New Roman"/>
          <w:sz w:val="24"/>
          <w:szCs w:val="24"/>
        </w:rPr>
        <w:t xml:space="preserve"> </w:t>
      </w:r>
      <w:r w:rsidR="00D2335F" w:rsidRPr="00FC7510">
        <w:rPr>
          <w:rFonts w:ascii="Times New Roman" w:hAnsi="Times New Roman" w:cs="Times New Roman"/>
          <w:sz w:val="24"/>
          <w:szCs w:val="24"/>
        </w:rPr>
        <w:t xml:space="preserve">The proposal includes a system to update the glossary of ingredient names. The glossary will contain the names of all relevant cosmetic ingredients (approximately 10 000). The names used are independent of any national language and usually much shorter than the chemical name. Thus, these names will help avoid the need for translation of the </w:t>
      </w:r>
      <w:proofErr w:type="spellStart"/>
      <w:r w:rsidR="00D2335F" w:rsidRPr="00FC7510">
        <w:rPr>
          <w:rFonts w:ascii="Times New Roman" w:hAnsi="Times New Roman" w:cs="Times New Roman"/>
          <w:sz w:val="24"/>
          <w:szCs w:val="24"/>
        </w:rPr>
        <w:t>labelled</w:t>
      </w:r>
      <w:proofErr w:type="spellEnd"/>
      <w:r w:rsidR="00D2335F" w:rsidRPr="00FC7510">
        <w:rPr>
          <w:rFonts w:ascii="Times New Roman" w:hAnsi="Times New Roman" w:cs="Times New Roman"/>
          <w:sz w:val="24"/>
          <w:szCs w:val="24"/>
        </w:rPr>
        <w:t xml:space="preserve"> list of ingredients. Further, the glossary refers to names that have global acceptance. This will help EU producers to export their goods.</w:t>
      </w:r>
    </w:p>
    <w:p w:rsidR="00D2335F" w:rsidRPr="00FC7510" w:rsidRDefault="00BD2758"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35F" w:rsidRPr="00FC7510">
        <w:rPr>
          <w:rFonts w:ascii="Times New Roman" w:hAnsi="Times New Roman" w:cs="Times New Roman"/>
          <w:sz w:val="24"/>
          <w:szCs w:val="24"/>
        </w:rPr>
        <w:t xml:space="preserve">Annex </w:t>
      </w:r>
      <w:proofErr w:type="gramStart"/>
      <w:r w:rsidR="00D2335F" w:rsidRPr="00FC7510">
        <w:rPr>
          <w:rFonts w:ascii="Times New Roman" w:hAnsi="Times New Roman" w:cs="Times New Roman"/>
          <w:sz w:val="24"/>
          <w:szCs w:val="24"/>
        </w:rPr>
        <w:t>I</w:t>
      </w:r>
      <w:proofErr w:type="gramEnd"/>
      <w:r w:rsidR="00D2335F" w:rsidRPr="00FC7510">
        <w:rPr>
          <w:rFonts w:ascii="Times New Roman" w:hAnsi="Times New Roman" w:cs="Times New Roman"/>
          <w:sz w:val="24"/>
          <w:szCs w:val="24"/>
        </w:rPr>
        <w:t xml:space="preserve"> of the proposal sets out the requirements for cosmetic product safety assessment in terms of content. One crucial element of the recast is clarification as to what information has to be contained in the cosmetic product safety assessment to provide evidence of safety.</w:t>
      </w:r>
    </w:p>
    <w:p w:rsidR="00D2335F" w:rsidRPr="00FC7510" w:rsidRDefault="00BD2758"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35F" w:rsidRPr="00FC7510">
        <w:rPr>
          <w:rFonts w:ascii="Times New Roman" w:hAnsi="Times New Roman" w:cs="Times New Roman"/>
          <w:sz w:val="24"/>
          <w:szCs w:val="24"/>
        </w:rPr>
        <w:t xml:space="preserve">The proposal strengthens the role of in-market controls. The proposed provisions include: defining the person responsible for products supplied to consumers from outside of the EU; a simplified, </w:t>
      </w:r>
      <w:proofErr w:type="spellStart"/>
      <w:r w:rsidR="00D2335F" w:rsidRPr="00FC7510">
        <w:rPr>
          <w:rFonts w:ascii="Times New Roman" w:hAnsi="Times New Roman" w:cs="Times New Roman"/>
          <w:sz w:val="24"/>
          <w:szCs w:val="24"/>
        </w:rPr>
        <w:t>centralised</w:t>
      </w:r>
      <w:proofErr w:type="spellEnd"/>
      <w:r w:rsidR="00D2335F" w:rsidRPr="00FC7510">
        <w:rPr>
          <w:rFonts w:ascii="Times New Roman" w:hAnsi="Times New Roman" w:cs="Times New Roman"/>
          <w:sz w:val="24"/>
          <w:szCs w:val="24"/>
        </w:rPr>
        <w:t xml:space="preserve"> and electronic notification requirement; communicating information on certain undesirable effects to a competent authority; and strengthening rules that apply to non-compliant </w:t>
      </w:r>
      <w:r w:rsidR="00E01CB3">
        <w:rPr>
          <w:rFonts w:ascii="Times New Roman" w:hAnsi="Times New Roman" w:cs="Times New Roman"/>
          <w:sz w:val="24"/>
          <w:szCs w:val="24"/>
        </w:rPr>
        <w:t>products.</w:t>
      </w:r>
    </w:p>
    <w:p w:rsidR="00D2335F" w:rsidRPr="00FC7510" w:rsidRDefault="00BD2758"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35F" w:rsidRPr="00FC7510">
        <w:rPr>
          <w:rFonts w:ascii="Times New Roman" w:hAnsi="Times New Roman" w:cs="Times New Roman"/>
          <w:sz w:val="24"/>
          <w:szCs w:val="24"/>
        </w:rPr>
        <w:t xml:space="preserve">A new CMR (carcinogenic, mutagenic or </w:t>
      </w:r>
      <w:proofErr w:type="spellStart"/>
      <w:r w:rsidR="00D2335F" w:rsidRPr="00FC7510">
        <w:rPr>
          <w:rFonts w:ascii="Times New Roman" w:hAnsi="Times New Roman" w:cs="Times New Roman"/>
          <w:sz w:val="24"/>
          <w:szCs w:val="24"/>
        </w:rPr>
        <w:t>reprotoxic</w:t>
      </w:r>
      <w:proofErr w:type="spellEnd"/>
      <w:r w:rsidR="00D2335F" w:rsidRPr="00FC7510">
        <w:rPr>
          <w:rFonts w:ascii="Times New Roman" w:hAnsi="Times New Roman" w:cs="Times New Roman"/>
          <w:sz w:val="24"/>
          <w:szCs w:val="24"/>
        </w:rPr>
        <w:t xml:space="preserve">) regime is introduced. CMR substances will be classified based on their intrinsic properties ("Hazard") without taking exposure into account - i.e. future use. CMR substances are </w:t>
      </w:r>
      <w:r w:rsidR="00E01CB3">
        <w:rPr>
          <w:rFonts w:ascii="Times New Roman" w:hAnsi="Times New Roman" w:cs="Times New Roman"/>
          <w:sz w:val="24"/>
          <w:szCs w:val="24"/>
        </w:rPr>
        <w:t>divided into</w:t>
      </w:r>
      <w:r w:rsidR="00D2335F" w:rsidRPr="00FC7510">
        <w:rPr>
          <w:rFonts w:ascii="Times New Roman" w:hAnsi="Times New Roman" w:cs="Times New Roman"/>
          <w:sz w:val="24"/>
          <w:szCs w:val="24"/>
        </w:rPr>
        <w:t xml:space="preserve"> 3 categories based on the degree of evidence of the properties. Until now, CMR 1 and 2 substances were automatically banned in cosmetic products, whilst CMR 3 substances were banned unless the Scientific Committee had found the substances to be safe for use in cosmetics. The proposal, however, intends to include a risk management regime for CMR 1 and 2 substances which </w:t>
      </w:r>
      <w:proofErr w:type="gramStart"/>
      <w:r w:rsidR="00D2335F" w:rsidRPr="00FC7510">
        <w:rPr>
          <w:rFonts w:ascii="Times New Roman" w:hAnsi="Times New Roman" w:cs="Times New Roman"/>
          <w:sz w:val="24"/>
          <w:szCs w:val="24"/>
        </w:rPr>
        <w:t>allows</w:t>
      </w:r>
      <w:proofErr w:type="gramEnd"/>
      <w:r w:rsidR="00D2335F" w:rsidRPr="00FC7510">
        <w:rPr>
          <w:rFonts w:ascii="Times New Roman" w:hAnsi="Times New Roman" w:cs="Times New Roman"/>
          <w:sz w:val="24"/>
          <w:szCs w:val="24"/>
        </w:rPr>
        <w:t>, subject to rigid conditions, the use of these substances if they have been found to be safe by the Scientific Committee for Consumer Products.</w:t>
      </w:r>
    </w:p>
    <w:p w:rsidR="008F4867" w:rsidRDefault="00BD2758"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35F" w:rsidRPr="00FC7510">
        <w:rPr>
          <w:rFonts w:ascii="Times New Roman" w:hAnsi="Times New Roman" w:cs="Times New Roman"/>
          <w:sz w:val="24"/>
          <w:szCs w:val="24"/>
        </w:rPr>
        <w:t xml:space="preserve">The proposal also: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obliges the responsible person for cosmetic product safety to keep up</w:t>
      </w:r>
      <w:r w:rsidR="008F4867" w:rsidRPr="008F4867">
        <w:rPr>
          <w:rFonts w:ascii="Times New Roman" w:hAnsi="Times New Roman" w:cs="Times New Roman"/>
          <w:sz w:val="24"/>
          <w:szCs w:val="24"/>
        </w:rPr>
        <w:t>-</w:t>
      </w:r>
      <w:r w:rsidRPr="008F4867">
        <w:rPr>
          <w:rFonts w:ascii="Times New Roman" w:hAnsi="Times New Roman" w:cs="Times New Roman"/>
          <w:sz w:val="24"/>
          <w:szCs w:val="24"/>
        </w:rPr>
        <w:t>to</w:t>
      </w:r>
      <w:r w:rsidR="008F4867" w:rsidRPr="008F4867">
        <w:rPr>
          <w:rFonts w:ascii="Times New Roman" w:hAnsi="Times New Roman" w:cs="Times New Roman"/>
          <w:sz w:val="24"/>
          <w:szCs w:val="24"/>
        </w:rPr>
        <w:t>-</w:t>
      </w:r>
      <w:r w:rsidRPr="008F4867">
        <w:rPr>
          <w:rFonts w:ascii="Times New Roman" w:hAnsi="Times New Roman" w:cs="Times New Roman"/>
          <w:sz w:val="24"/>
          <w:szCs w:val="24"/>
        </w:rPr>
        <w:t>date report</w:t>
      </w:r>
      <w:r w:rsidR="008F4867" w:rsidRPr="008F4867">
        <w:rPr>
          <w:rFonts w:ascii="Times New Roman" w:hAnsi="Times New Roman" w:cs="Times New Roman"/>
          <w:sz w:val="24"/>
          <w:szCs w:val="24"/>
        </w:rPr>
        <w:t>s</w:t>
      </w:r>
      <w:r w:rsidRPr="008F4867">
        <w:rPr>
          <w:rFonts w:ascii="Times New Roman" w:hAnsi="Times New Roman" w:cs="Times New Roman"/>
          <w:sz w:val="24"/>
          <w:szCs w:val="24"/>
        </w:rPr>
        <w:t xml:space="preserve">;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deletes reference to the appropriate level of qualification for the manufacturers and the importers;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provides for </w:t>
      </w:r>
      <w:proofErr w:type="spellStart"/>
      <w:r w:rsidRPr="008F4867">
        <w:rPr>
          <w:rFonts w:ascii="Times New Roman" w:hAnsi="Times New Roman" w:cs="Times New Roman"/>
          <w:sz w:val="24"/>
          <w:szCs w:val="24"/>
        </w:rPr>
        <w:t>harmonised</w:t>
      </w:r>
      <w:proofErr w:type="spellEnd"/>
      <w:r w:rsidRPr="008F4867">
        <w:rPr>
          <w:rFonts w:ascii="Times New Roman" w:hAnsi="Times New Roman" w:cs="Times New Roman"/>
          <w:sz w:val="24"/>
          <w:szCs w:val="24"/>
        </w:rPr>
        <w:t xml:space="preserve"> standards in the field of good manufacturing practices and sampling/analysis of cosmetic products; introduces the </w:t>
      </w:r>
      <w:r w:rsidR="00BD2758" w:rsidRPr="008F4867">
        <w:rPr>
          <w:rFonts w:ascii="Times New Roman" w:hAnsi="Times New Roman" w:cs="Times New Roman"/>
          <w:sz w:val="24"/>
          <w:szCs w:val="24"/>
        </w:rPr>
        <w:t>cosmetology</w:t>
      </w:r>
      <w:r w:rsidRPr="008F4867">
        <w:rPr>
          <w:rFonts w:ascii="Times New Roman" w:hAnsi="Times New Roman" w:cs="Times New Roman"/>
          <w:sz w:val="24"/>
          <w:szCs w:val="24"/>
        </w:rPr>
        <w:t xml:space="preserve"> procedure with scrutiny for granting a derogation from the animal testing regime;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lastRenderedPageBreak/>
        <w:t xml:space="preserve">introduces the possibility of highlighting, on the label, the relevant address for the competent authorities;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allows for the printing, on the label, a date of minimum durability by way of a pictogram; introduces the option of making use of </w:t>
      </w:r>
      <w:proofErr w:type="spellStart"/>
      <w:r w:rsidRPr="008F4867">
        <w:rPr>
          <w:rFonts w:ascii="Times New Roman" w:hAnsi="Times New Roman" w:cs="Times New Roman"/>
          <w:sz w:val="24"/>
          <w:szCs w:val="24"/>
        </w:rPr>
        <w:t>harmonised</w:t>
      </w:r>
      <w:proofErr w:type="spellEnd"/>
      <w:r w:rsidRPr="008F4867">
        <w:rPr>
          <w:rFonts w:ascii="Times New Roman" w:hAnsi="Times New Roman" w:cs="Times New Roman"/>
          <w:sz w:val="24"/>
          <w:szCs w:val="24"/>
        </w:rPr>
        <w:t xml:space="preserve"> standards to address issues of claims;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introduces a clear procedure for the application of the safeguard clause; clarifies rules applying to amending the Annexes of the text;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introduces the </w:t>
      </w:r>
      <w:r w:rsidR="008F4867" w:rsidRPr="008F4867">
        <w:rPr>
          <w:rFonts w:ascii="Times New Roman" w:hAnsi="Times New Roman" w:cs="Times New Roman"/>
          <w:sz w:val="24"/>
          <w:szCs w:val="24"/>
        </w:rPr>
        <w:t>cosmetology</w:t>
      </w:r>
      <w:r w:rsidRPr="008F4867">
        <w:rPr>
          <w:rFonts w:ascii="Times New Roman" w:hAnsi="Times New Roman" w:cs="Times New Roman"/>
          <w:sz w:val="24"/>
          <w:szCs w:val="24"/>
        </w:rPr>
        <w:t xml:space="preserve"> procedure with scrutiny;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allows for the formal objection against </w:t>
      </w:r>
      <w:proofErr w:type="spellStart"/>
      <w:r w:rsidRPr="008F4867">
        <w:rPr>
          <w:rFonts w:ascii="Times New Roman" w:hAnsi="Times New Roman" w:cs="Times New Roman"/>
          <w:sz w:val="24"/>
          <w:szCs w:val="24"/>
        </w:rPr>
        <w:t>harmonised</w:t>
      </w:r>
      <w:proofErr w:type="spellEnd"/>
      <w:r w:rsidRPr="008F4867">
        <w:rPr>
          <w:rFonts w:ascii="Times New Roman" w:hAnsi="Times New Roman" w:cs="Times New Roman"/>
          <w:sz w:val="24"/>
          <w:szCs w:val="24"/>
        </w:rPr>
        <w:t xml:space="preserve"> standards;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introduces an obligation on the Member States to adopt provisions on penalties; </w:t>
      </w:r>
    </w:p>
    <w:p w:rsid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8F4867">
        <w:rPr>
          <w:rFonts w:ascii="Times New Roman" w:hAnsi="Times New Roman" w:cs="Times New Roman"/>
          <w:sz w:val="24"/>
          <w:szCs w:val="24"/>
        </w:rPr>
        <w:t xml:space="preserve">establishes rules for the repeal of the cosmetics Directive; and </w:t>
      </w:r>
    </w:p>
    <w:p w:rsidR="00D2335F" w:rsidRPr="008F4867" w:rsidRDefault="00D2335F" w:rsidP="008F4867">
      <w:pPr>
        <w:pStyle w:val="ListParagraph"/>
        <w:widowControl w:val="0"/>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proofErr w:type="gramStart"/>
      <w:r w:rsidRPr="008F4867">
        <w:rPr>
          <w:rFonts w:ascii="Times New Roman" w:hAnsi="Times New Roman" w:cs="Times New Roman"/>
          <w:sz w:val="24"/>
          <w:szCs w:val="24"/>
        </w:rPr>
        <w:t>deletes</w:t>
      </w:r>
      <w:proofErr w:type="gramEnd"/>
      <w:r w:rsidRPr="008F4867">
        <w:rPr>
          <w:rFonts w:ascii="Times New Roman" w:hAnsi="Times New Roman" w:cs="Times New Roman"/>
          <w:sz w:val="24"/>
          <w:szCs w:val="24"/>
        </w:rPr>
        <w:t xml:space="preserve"> Annex V of the Cosmetics Directive.</w:t>
      </w:r>
    </w:p>
    <w:p w:rsidR="008F4867" w:rsidRDefault="00BD2758"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2335F" w:rsidRPr="00FC7510" w:rsidRDefault="008F4867"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335F" w:rsidRPr="00FC7510">
        <w:rPr>
          <w:rFonts w:ascii="Times New Roman" w:hAnsi="Times New Roman" w:cs="Times New Roman"/>
          <w:sz w:val="24"/>
          <w:szCs w:val="24"/>
        </w:rPr>
        <w:t>From a budgetary point of view, the proposal envisages the establishment of a central electronic interface for the product notification to the competent authorities of the Member States.</w:t>
      </w:r>
    </w:p>
    <w:p w:rsidR="00D2335F" w:rsidRPr="00FC7510" w:rsidRDefault="00D2335F" w:rsidP="00D233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2335F" w:rsidRPr="00FC7510" w:rsidRDefault="00D2335F"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2335F" w:rsidRPr="00FC7510" w:rsidRDefault="00FC7510"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Organization</w:t>
      </w:r>
    </w:p>
    <w:p w:rsidR="00D2335F" w:rsidRPr="00FC7510" w:rsidRDefault="00D2335F"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C2ACD" w:rsidRPr="00FC7510" w:rsidRDefault="00FC7510"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C2ACD" w:rsidRPr="00FC7510">
        <w:rPr>
          <w:rFonts w:ascii="Times New Roman" w:hAnsi="Times New Roman" w:cs="Times New Roman"/>
          <w:sz w:val="24"/>
          <w:szCs w:val="24"/>
        </w:rPr>
        <w:t>Three clusters were selected because the addition of a fourth cluster does not result in the creation of a substantively meaningful grouping. Clusters 1 and 2 remain unchanged from moving from four clusters to three; it is simply that those latter two clusters get pushed together. In the four cluster grouping, Cluster 3 does not appear to be coherent, with some pushing for greater centralization and more regulation, while others do the opposite, some emphasizing harmonization, while others don't bring it up. But in the context of a larger cluster, which occurs if only three clusters exist, it appears to generally match up (as much as it can) with discussion of the Annex system, regulations vs. directives, clarification of terms, etc.</w:t>
      </w:r>
    </w:p>
    <w:p w:rsidR="00DC2ACD" w:rsidRPr="00FC7510" w:rsidRDefault="00DC2ACD"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C2ACD" w:rsidRDefault="00DC2ACD"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FC7510">
        <w:rPr>
          <w:rFonts w:ascii="Times New Roman" w:hAnsi="Times New Roman" w:cs="Times New Roman"/>
          <w:b/>
          <w:sz w:val="24"/>
          <w:szCs w:val="24"/>
        </w:rPr>
        <w:t>Cluster 1:</w:t>
      </w:r>
      <w:r w:rsidRPr="00FC7510">
        <w:rPr>
          <w:rFonts w:ascii="Times New Roman" w:hAnsi="Times New Roman" w:cs="Times New Roman"/>
          <w:sz w:val="24"/>
          <w:szCs w:val="24"/>
        </w:rPr>
        <w:t xml:space="preserve"> Emphasis on the SLIM report, avoiding negative impact on trade, and safety.</w:t>
      </w:r>
    </w:p>
    <w:p w:rsidR="00FC7510" w:rsidRPr="00FC7510" w:rsidRDefault="00FC7510"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C2ACD" w:rsidRDefault="00DC2ACD"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FC7510">
        <w:rPr>
          <w:rFonts w:ascii="Times New Roman" w:hAnsi="Times New Roman" w:cs="Times New Roman"/>
          <w:b/>
          <w:sz w:val="24"/>
          <w:szCs w:val="24"/>
        </w:rPr>
        <w:t>Cluster 2:</w:t>
      </w:r>
      <w:r w:rsidRPr="00FC7510">
        <w:rPr>
          <w:rFonts w:ascii="Times New Roman" w:hAnsi="Times New Roman" w:cs="Times New Roman"/>
          <w:sz w:val="24"/>
          <w:szCs w:val="24"/>
        </w:rPr>
        <w:t xml:space="preserve"> Not entirely certain. References to the SCCP seem to be common, though inconsistent.</w:t>
      </w:r>
    </w:p>
    <w:p w:rsidR="00FC7510" w:rsidRPr="00FC7510" w:rsidRDefault="00FC7510" w:rsidP="00DC2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0E2969" w:rsidRPr="00FC7510" w:rsidRDefault="00DC2ACD" w:rsidP="00BF7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FC7510">
        <w:rPr>
          <w:rFonts w:ascii="Times New Roman" w:hAnsi="Times New Roman" w:cs="Times New Roman"/>
          <w:b/>
          <w:sz w:val="24"/>
          <w:szCs w:val="24"/>
        </w:rPr>
        <w:t>Cluster 3:</w:t>
      </w:r>
      <w:r w:rsidRPr="00FC7510">
        <w:rPr>
          <w:rFonts w:ascii="Times New Roman" w:hAnsi="Times New Roman" w:cs="Times New Roman"/>
          <w:sz w:val="24"/>
          <w:szCs w:val="24"/>
        </w:rPr>
        <w:t xml:space="preserve"> See above.</w:t>
      </w:r>
    </w:p>
    <w:sectPr w:rsidR="000E2969" w:rsidRPr="00FC7510" w:rsidSect="006E431E">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D2" w:rsidRDefault="009333D2" w:rsidP="00FC7510">
      <w:pPr>
        <w:spacing w:after="0" w:line="240" w:lineRule="auto"/>
      </w:pPr>
      <w:r>
        <w:separator/>
      </w:r>
    </w:p>
  </w:endnote>
  <w:endnote w:type="continuationSeparator" w:id="0">
    <w:p w:rsidR="009333D2" w:rsidRDefault="009333D2" w:rsidP="00FC7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D2" w:rsidRDefault="009333D2" w:rsidP="00FC7510">
      <w:pPr>
        <w:spacing w:after="0" w:line="240" w:lineRule="auto"/>
      </w:pPr>
      <w:r>
        <w:separator/>
      </w:r>
    </w:p>
  </w:footnote>
  <w:footnote w:type="continuationSeparator" w:id="0">
    <w:p w:rsidR="009333D2" w:rsidRDefault="009333D2" w:rsidP="00FC7510">
      <w:pPr>
        <w:spacing w:after="0" w:line="240" w:lineRule="auto"/>
      </w:pPr>
      <w:r>
        <w:continuationSeparator/>
      </w:r>
    </w:p>
  </w:footnote>
  <w:footnote w:id="1">
    <w:p w:rsidR="00420930" w:rsidRDefault="00FC7510" w:rsidP="00420930">
      <w:pPr>
        <w:pStyle w:val="FootnoteText"/>
      </w:pPr>
      <w:r>
        <w:rPr>
          <w:rStyle w:val="FootnoteReference"/>
        </w:rPr>
        <w:footnoteRef/>
      </w:r>
      <w:r>
        <w:t xml:space="preserve"> </w:t>
      </w:r>
      <w:r w:rsidR="00420930">
        <w:t xml:space="preserve">See 12 August 2008 “Report on the proposal for a regulation of the European Parliament and of the Council </w:t>
      </w:r>
    </w:p>
    <w:p w:rsidR="00FC7510" w:rsidRDefault="00420930" w:rsidP="00420930">
      <w:pPr>
        <w:pStyle w:val="FootnoteText"/>
      </w:pPr>
      <w:r>
        <w:t>on cosmetic products (recast)”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F358D"/>
    <w:multiLevelType w:val="hybridMultilevel"/>
    <w:tmpl w:val="4F26F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2ACD"/>
    <w:rsid w:val="000E2969"/>
    <w:rsid w:val="00420930"/>
    <w:rsid w:val="006E431E"/>
    <w:rsid w:val="008F4867"/>
    <w:rsid w:val="009333D2"/>
    <w:rsid w:val="00AE3457"/>
    <w:rsid w:val="00BD2758"/>
    <w:rsid w:val="00BF7B6E"/>
    <w:rsid w:val="00D2335F"/>
    <w:rsid w:val="00DC2ACD"/>
    <w:rsid w:val="00E01CB3"/>
    <w:rsid w:val="00FB70F2"/>
    <w:rsid w:val="00FC7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C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7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510"/>
    <w:rPr>
      <w:rFonts w:eastAsiaTheme="minorEastAsia"/>
      <w:sz w:val="20"/>
      <w:szCs w:val="20"/>
    </w:rPr>
  </w:style>
  <w:style w:type="character" w:styleId="FootnoteReference">
    <w:name w:val="footnote reference"/>
    <w:basedOn w:val="DefaultParagraphFont"/>
    <w:uiPriority w:val="99"/>
    <w:semiHidden/>
    <w:unhideWhenUsed/>
    <w:rsid w:val="00FC7510"/>
    <w:rPr>
      <w:vertAlign w:val="superscript"/>
    </w:rPr>
  </w:style>
  <w:style w:type="paragraph" w:styleId="ListParagraph">
    <w:name w:val="List Paragraph"/>
    <w:basedOn w:val="Normal"/>
    <w:uiPriority w:val="34"/>
    <w:qFormat/>
    <w:rsid w:val="008F48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885A9CF-F6B6-4527-A773-7AD41C0B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jeffmhunt</dc:creator>
  <cp:lastModifiedBy>jeffmhunt</cp:lastModifiedBy>
  <cp:revision>5</cp:revision>
  <dcterms:created xsi:type="dcterms:W3CDTF">2013-10-25T20:15:00Z</dcterms:created>
  <dcterms:modified xsi:type="dcterms:W3CDTF">2013-11-09T18:44:00Z</dcterms:modified>
</cp:coreProperties>
</file>