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A8" w:rsidRPr="008746A8" w:rsidRDefault="00892FFA" w:rsidP="00874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</w:t>
      </w:r>
      <w:r w:rsidR="00165561">
        <w:rPr>
          <w:b/>
          <w:sz w:val="28"/>
          <w:szCs w:val="28"/>
        </w:rPr>
        <w:t>_R</w:t>
      </w:r>
      <w:r>
        <w:rPr>
          <w:b/>
          <w:sz w:val="28"/>
          <w:szCs w:val="28"/>
        </w:rPr>
        <w:t>ights</w:t>
      </w:r>
    </w:p>
    <w:p w:rsidR="00892FFA" w:rsidRDefault="00892653" w:rsidP="008746A8">
      <w:r w:rsidRPr="0029072D">
        <w:rPr>
          <w:b/>
        </w:rPr>
        <w:t>ID</w:t>
      </w:r>
      <w:r w:rsidR="0029072D" w:rsidRPr="0029072D">
        <w:rPr>
          <w:b/>
        </w:rPr>
        <w:t>:</w:t>
      </w:r>
      <w:r w:rsidR="00214C86">
        <w:rPr>
          <w:b/>
        </w:rPr>
        <w:t xml:space="preserve"> </w:t>
      </w:r>
      <w:r w:rsidR="00892FFA">
        <w:t>46</w:t>
      </w:r>
      <w:r w:rsidR="00491D99">
        <w:t xml:space="preserve"> </w:t>
      </w:r>
      <w:r w:rsidR="00214C86">
        <w:t xml:space="preserve"> </w:t>
      </w:r>
      <w:r w:rsidR="00892FFA">
        <w:tab/>
      </w:r>
      <w:r w:rsidR="0029072D" w:rsidRPr="0029072D">
        <w:rPr>
          <w:b/>
        </w:rPr>
        <w:t>Code:</w:t>
      </w:r>
      <w:r w:rsidR="0029072D">
        <w:t xml:space="preserve"> </w:t>
      </w:r>
      <w:r w:rsidR="00892FFA" w:rsidRPr="00892FFA">
        <w:t xml:space="preserve">COM (2008) 414     2008/0142/COD  </w:t>
      </w:r>
      <w:r w:rsidR="00892FFA">
        <w:tab/>
      </w:r>
      <w:r w:rsidR="006B5084" w:rsidRPr="006B5084">
        <w:rPr>
          <w:b/>
        </w:rPr>
        <w:t>Type:</w:t>
      </w:r>
      <w:r w:rsidR="00214C86">
        <w:rPr>
          <w:b/>
        </w:rPr>
        <w:t xml:space="preserve"> </w:t>
      </w:r>
      <w:r w:rsidR="00417A10">
        <w:t>Directive</w:t>
      </w:r>
    </w:p>
    <w:p w:rsidR="0029072D" w:rsidRPr="00214C86" w:rsidRDefault="00491D99" w:rsidP="008746A8">
      <w:r>
        <w:rPr>
          <w:b/>
        </w:rPr>
        <w:t xml:space="preserve"> </w:t>
      </w:r>
      <w:r w:rsidRPr="0029072D">
        <w:rPr>
          <w:b/>
        </w:rPr>
        <w:t>Date of Proposal:</w:t>
      </w:r>
      <w:r>
        <w:rPr>
          <w:b/>
        </w:rPr>
        <w:t xml:space="preserve"> </w:t>
      </w:r>
      <w:r w:rsidR="00892FFA">
        <w:t>02/07/2008</w:t>
      </w:r>
      <w:r w:rsidRPr="005B721B">
        <w:t xml:space="preserve"> </w:t>
      </w:r>
      <w:r w:rsidR="00214C86">
        <w:t xml:space="preserve"> </w:t>
      </w:r>
      <w:r w:rsidR="00892FFA">
        <w:tab/>
      </w:r>
      <w:r>
        <w:rPr>
          <w:b/>
        </w:rPr>
        <w:t>Current Status:</w:t>
      </w:r>
      <w:r w:rsidR="00DD5408">
        <w:rPr>
          <w:b/>
        </w:rPr>
        <w:t xml:space="preserve"> </w:t>
      </w:r>
      <w:r w:rsidR="00892FFA">
        <w:t>signed by the EP and the Council on 09/03/2011 and published in the OJ on 04/04/2011</w:t>
      </w:r>
      <w:r w:rsidRPr="00214C86">
        <w:t xml:space="preserve">     </w:t>
      </w:r>
    </w:p>
    <w:p w:rsidR="00B70DD3" w:rsidRDefault="00B70DD3" w:rsidP="00D210E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70DD3" w:rsidRDefault="00B70DD3" w:rsidP="00B70DD3">
      <w:pPr>
        <w:spacing w:after="0"/>
        <w:rPr>
          <w:b/>
        </w:rPr>
      </w:pPr>
      <w:r>
        <w:rPr>
          <w:b/>
        </w:rPr>
        <w:t>Memo</w:t>
      </w:r>
      <w:r w:rsidRPr="002E42ED">
        <w:rPr>
          <w:b/>
        </w:rPr>
        <w:t xml:space="preserve"> by:</w:t>
      </w:r>
      <w:r>
        <w:rPr>
          <w:b/>
        </w:rPr>
        <w:t xml:space="preserve"> </w:t>
      </w:r>
      <w:r>
        <w:t xml:space="preserve">PR </w:t>
      </w:r>
      <w:r w:rsidRPr="002E42ED">
        <w:rPr>
          <w:b/>
        </w:rPr>
        <w:t>Team:</w:t>
      </w:r>
      <w:r>
        <w:t xml:space="preserve"> DE</w:t>
      </w:r>
      <w:r w:rsidRPr="002E42ED">
        <w:rPr>
          <w:b/>
        </w:rPr>
        <w:t xml:space="preserve"> </w:t>
      </w:r>
    </w:p>
    <w:p w:rsidR="00B70DD3" w:rsidRDefault="00B70DD3" w:rsidP="00D210E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210EF" w:rsidRDefault="0029072D" w:rsidP="00D2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72D">
        <w:rPr>
          <w:b/>
        </w:rPr>
        <w:t>Title:</w:t>
      </w:r>
      <w:r>
        <w:t xml:space="preserve"> </w:t>
      </w:r>
      <w:r w:rsidR="00892FFA" w:rsidRPr="00892FFA">
        <w:rPr>
          <w:rFonts w:ascii="Times New Roman" w:hAnsi="Times New Roman" w:cs="Times New Roman"/>
          <w:bCs/>
          <w:sz w:val="24"/>
          <w:szCs w:val="24"/>
        </w:rPr>
        <w:t>Proposal for a DIRECTIVE OF THE EUROPEAN PARLIAMENT AND OF THE COUNCIL on the application of patients' rights in cross-border healthcare</w:t>
      </w:r>
    </w:p>
    <w:p w:rsidR="000C32FB" w:rsidRPr="00822BA7" w:rsidRDefault="00417A10" w:rsidP="00D210EF">
      <w:pPr>
        <w:autoSpaceDE w:val="0"/>
        <w:autoSpaceDN w:val="0"/>
        <w:adjustRightInd w:val="0"/>
        <w:spacing w:after="0" w:line="240" w:lineRule="auto"/>
      </w:pPr>
      <w:r w:rsidRPr="00822BA7">
        <w:t xml:space="preserve"> </w:t>
      </w:r>
    </w:p>
    <w:p w:rsidR="0029072D" w:rsidRPr="008746A8" w:rsidRDefault="00491D99">
      <w:r>
        <w:rPr>
          <w:b/>
        </w:rPr>
        <w:t>Identified Commission Official:</w:t>
      </w:r>
      <w:r w:rsidR="008746A8">
        <w:rPr>
          <w:b/>
        </w:rPr>
        <w:t xml:space="preserve">  </w:t>
      </w:r>
      <w:proofErr w:type="spellStart"/>
      <w:r w:rsidR="00892FFA" w:rsidRPr="00892FFA">
        <w:t>Androula</w:t>
      </w:r>
      <w:proofErr w:type="spellEnd"/>
      <w:r w:rsidR="00892FFA" w:rsidRPr="00892FFA">
        <w:t xml:space="preserve"> VASSILIOU</w:t>
      </w:r>
    </w:p>
    <w:p w:rsidR="001F231C" w:rsidRDefault="00D600F3" w:rsidP="001F231C">
      <w:pPr>
        <w:rPr>
          <w:b/>
        </w:rPr>
      </w:pPr>
      <w:r>
        <w:rPr>
          <w:b/>
        </w:rPr>
        <w:t xml:space="preserve">Media Archive score: </w:t>
      </w:r>
      <w:r w:rsidR="00892FFA">
        <w:t>43 (in 4 newspapers)</w:t>
      </w:r>
      <w:r>
        <w:rPr>
          <w:b/>
        </w:rPr>
        <w:t xml:space="preserve"> </w:t>
      </w:r>
    </w:p>
    <w:p w:rsidR="005E65B7" w:rsidRDefault="00BD4EB7" w:rsidP="001F231C">
      <w:pPr>
        <w:rPr>
          <w:b/>
        </w:rPr>
      </w:pPr>
      <w:r>
        <w:rPr>
          <w:b/>
        </w:rPr>
        <w:t>Objective:</w:t>
      </w:r>
      <w:r w:rsidR="003935B4">
        <w:rPr>
          <w:b/>
        </w:rPr>
        <w:t xml:space="preserve"> </w:t>
      </w:r>
    </w:p>
    <w:p w:rsidR="00151F63" w:rsidRDefault="00151F63" w:rsidP="00801C17">
      <w:pPr>
        <w:jc w:val="both"/>
      </w:pPr>
      <w:r>
        <w:t xml:space="preserve">Based on the case-law, </w:t>
      </w:r>
      <w:r w:rsidR="00B92253">
        <w:t>the Commission initiative aimed</w:t>
      </w:r>
      <w:r>
        <w:t xml:space="preserve"> at ensuring a clear and transparent framework for</w:t>
      </w:r>
      <w:r w:rsidR="00B92253">
        <w:t xml:space="preserve"> </w:t>
      </w:r>
      <w:r>
        <w:t>the provision of cross-border healthcare within the EU, for those occasions where the care</w:t>
      </w:r>
      <w:r w:rsidR="00B92253">
        <w:t xml:space="preserve"> </w:t>
      </w:r>
      <w:r>
        <w:t>patients seek is provided in another Member State than in their home country. When this</w:t>
      </w:r>
      <w:r w:rsidR="00B92253">
        <w:t xml:space="preserve"> </w:t>
      </w:r>
      <w:r>
        <w:t>happens, there should be no unjustified obstacles. The care should be safe and of good</w:t>
      </w:r>
      <w:r w:rsidR="00B92253">
        <w:t xml:space="preserve"> </w:t>
      </w:r>
      <w:r>
        <w:t xml:space="preserve">quality. The procedures for reimbursement of costs should be clear and transparent. </w:t>
      </w:r>
      <w:r w:rsidR="00B92253">
        <w:t xml:space="preserve">The proposal addressed in particular </w:t>
      </w:r>
      <w:r>
        <w:t>barriers to the</w:t>
      </w:r>
      <w:r w:rsidR="00B92253">
        <w:t xml:space="preserve"> </w:t>
      </w:r>
      <w:r>
        <w:t>provision of cross-bord</w:t>
      </w:r>
      <w:r w:rsidR="00B92253">
        <w:t xml:space="preserve">er healthcare </w:t>
      </w:r>
      <w:r>
        <w:t>which present risks for a high level of health</w:t>
      </w:r>
      <w:r w:rsidR="00B92253">
        <w:t xml:space="preserve"> protection. The Commission argued that those barriers are creating </w:t>
      </w:r>
      <w:r>
        <w:t>obstacles to the free</w:t>
      </w:r>
      <w:r w:rsidR="00B92253">
        <w:t xml:space="preserve"> </w:t>
      </w:r>
      <w:r>
        <w:t>movement of patients and of health ser</w:t>
      </w:r>
      <w:r w:rsidR="00B92253">
        <w:t>vices</w:t>
      </w:r>
      <w:r>
        <w:t>.</w:t>
      </w:r>
      <w:r w:rsidR="00B92253">
        <w:t xml:space="preserve"> To ensure proper working of the cross-border health protection the Commission proposed to ensure:</w:t>
      </w:r>
      <w:r>
        <w:t xml:space="preserve"> clear information that enables people to make informed choices about their</w:t>
      </w:r>
      <w:r w:rsidR="00B92253">
        <w:t xml:space="preserve"> </w:t>
      </w:r>
      <w:r>
        <w:t>healthcare;</w:t>
      </w:r>
      <w:r w:rsidR="00B92253">
        <w:t xml:space="preserve"> </w:t>
      </w:r>
      <w:r>
        <w:t>mechanisms for ensuring the quality and safety of t</w:t>
      </w:r>
      <w:r w:rsidR="00B92253">
        <w:t xml:space="preserve">he healthcare that is provided; </w:t>
      </w:r>
      <w:r>
        <w:t>continuity of care between different treating professionals and organisations;</w:t>
      </w:r>
      <w:r w:rsidR="00B92253">
        <w:t xml:space="preserve"> </w:t>
      </w:r>
      <w:r>
        <w:t>and mechanisms to ensure appropriate remedies and compensation for harm</w:t>
      </w:r>
      <w:r w:rsidR="00B92253">
        <w:t xml:space="preserve"> </w:t>
      </w:r>
      <w:r>
        <w:t>arising from healthcare.</w:t>
      </w:r>
    </w:p>
    <w:p w:rsidR="00740E9C" w:rsidRDefault="007B76D8" w:rsidP="00151F63">
      <w:pPr>
        <w:rPr>
          <w:b/>
        </w:rPr>
      </w:pPr>
      <w:r>
        <w:rPr>
          <w:b/>
        </w:rPr>
        <w:t>Background</w:t>
      </w:r>
      <w:r w:rsidR="00BD4EB7">
        <w:rPr>
          <w:b/>
        </w:rPr>
        <w:t>:</w:t>
      </w:r>
      <w:r w:rsidR="005B721B">
        <w:rPr>
          <w:b/>
        </w:rPr>
        <w:t xml:space="preserve"> </w:t>
      </w:r>
      <w:r w:rsidR="00DC077D">
        <w:rPr>
          <w:b/>
        </w:rPr>
        <w:t xml:space="preserve"> </w:t>
      </w:r>
    </w:p>
    <w:p w:rsidR="00151F63" w:rsidRDefault="00EB3C9F" w:rsidP="00801C17">
      <w:pPr>
        <w:jc w:val="both"/>
      </w:pPr>
      <w:r>
        <w:t>In 2003 health ministers and other stakeholders invited the Commission to explore</w:t>
      </w:r>
      <w:r w:rsidR="00801C17">
        <w:t xml:space="preserve"> </w:t>
      </w:r>
      <w:r>
        <w:t>how legal certainty in the field of cross-border care could be improved following the</w:t>
      </w:r>
      <w:r w:rsidR="00801C17">
        <w:t xml:space="preserve"> </w:t>
      </w:r>
      <w:r>
        <w:t>Court of Justice jurisprudence concerning the right of patients to benefit from</w:t>
      </w:r>
      <w:r w:rsidR="00801C17">
        <w:t xml:space="preserve"> </w:t>
      </w:r>
      <w:r>
        <w:t>medical tr</w:t>
      </w:r>
      <w:r w:rsidR="00801C17">
        <w:t>eatment in another Member State</w:t>
      </w:r>
      <w:r>
        <w:t xml:space="preserve">. The </w:t>
      </w:r>
      <w:r w:rsidR="00801C17">
        <w:t xml:space="preserve">first </w:t>
      </w:r>
      <w:r>
        <w:t>Commission’s proposal for a</w:t>
      </w:r>
      <w:r w:rsidR="00801C17">
        <w:t xml:space="preserve"> </w:t>
      </w:r>
      <w:r>
        <w:t>Directive on services in the internal market at the start of 2004 therefore included</w:t>
      </w:r>
      <w:r w:rsidR="00801C17">
        <w:t xml:space="preserve"> </w:t>
      </w:r>
      <w:r>
        <w:t>provisions codifying the rulings of the Court of Ju</w:t>
      </w:r>
      <w:r w:rsidR="00801C17">
        <w:t xml:space="preserve">stice in applying free movement </w:t>
      </w:r>
      <w:r>
        <w:t>principles to health services. This approach, however, was not accepted by the</w:t>
      </w:r>
      <w:r w:rsidR="00801C17">
        <w:t xml:space="preserve"> </w:t>
      </w:r>
      <w:r>
        <w:t>European Parliament</w:t>
      </w:r>
      <w:r w:rsidR="00801C17">
        <w:t xml:space="preserve"> (April 2005, March 2007, </w:t>
      </w:r>
      <w:proofErr w:type="gramStart"/>
      <w:r w:rsidR="00801C17">
        <w:t>May</w:t>
      </w:r>
      <w:proofErr w:type="gramEnd"/>
      <w:r w:rsidR="00801C17">
        <w:t xml:space="preserve"> 2007)</w:t>
      </w:r>
      <w:r>
        <w:t xml:space="preserve"> and Council</w:t>
      </w:r>
      <w:r w:rsidR="00801C17">
        <w:t xml:space="preserve"> (June 2006)</w:t>
      </w:r>
      <w:r>
        <w:t>. It was felt that specificities of health services were</w:t>
      </w:r>
      <w:r w:rsidR="00801C17">
        <w:t xml:space="preserve"> </w:t>
      </w:r>
      <w:r>
        <w:t>not sufficiently taken into account, in particular their technical complexities,</w:t>
      </w:r>
      <w:r w:rsidR="00801C17">
        <w:t xml:space="preserve"> </w:t>
      </w:r>
      <w:r>
        <w:t>sensitivity for public opinion and major support from public funds. The Commission</w:t>
      </w:r>
      <w:r w:rsidR="00801C17">
        <w:t xml:space="preserve"> </w:t>
      </w:r>
      <w:r>
        <w:t xml:space="preserve">therefore developed </w:t>
      </w:r>
      <w:r w:rsidR="00801C17">
        <w:t xml:space="preserve">in 2008 </w:t>
      </w:r>
      <w:r>
        <w:t>a policy initiative specifically targeting healthcare services as a</w:t>
      </w:r>
      <w:r w:rsidR="00801C17">
        <w:t xml:space="preserve"> </w:t>
      </w:r>
      <w:r>
        <w:t>separate issue.</w:t>
      </w:r>
    </w:p>
    <w:p w:rsidR="00801C17" w:rsidRDefault="00801C17" w:rsidP="00151F63">
      <w:pPr>
        <w:rPr>
          <w:b/>
        </w:rPr>
      </w:pPr>
    </w:p>
    <w:p w:rsidR="00801C17" w:rsidRDefault="00801C17" w:rsidP="00151F63">
      <w:pPr>
        <w:rPr>
          <w:b/>
        </w:rPr>
      </w:pPr>
    </w:p>
    <w:p w:rsidR="00801C17" w:rsidRDefault="00801C17" w:rsidP="00151F63">
      <w:pPr>
        <w:rPr>
          <w:b/>
        </w:rPr>
      </w:pPr>
    </w:p>
    <w:p w:rsidR="00F07B8E" w:rsidRDefault="00F36C92" w:rsidP="00151F63">
      <w:pPr>
        <w:rPr>
          <w:b/>
        </w:rPr>
      </w:pPr>
      <w:r>
        <w:rPr>
          <w:b/>
        </w:rPr>
        <w:lastRenderedPageBreak/>
        <w:t xml:space="preserve">Consultation: </w:t>
      </w:r>
    </w:p>
    <w:p w:rsidR="00151F63" w:rsidRDefault="00801C17" w:rsidP="00801C17">
      <w:pPr>
        <w:jc w:val="both"/>
      </w:pPr>
      <w:r>
        <w:t>Stakeholders had</w:t>
      </w:r>
      <w:r w:rsidR="00151F63">
        <w:t xml:space="preserve"> been extensively involved in Commission activities regarding patient</w:t>
      </w:r>
      <w:r>
        <w:t xml:space="preserve"> </w:t>
      </w:r>
      <w:r w:rsidR="00151F63">
        <w:t>mobility and health care over many years, in particular through the High Level Reflection</w:t>
      </w:r>
      <w:r>
        <w:t xml:space="preserve"> </w:t>
      </w:r>
      <w:r w:rsidR="00151F63">
        <w:t>Process, the Open Forum</w:t>
      </w:r>
      <w:r w:rsidR="00151F63">
        <w:rPr>
          <w:rStyle w:val="FootnoteReference"/>
        </w:rPr>
        <w:footnoteReference w:id="1"/>
      </w:r>
      <w:r w:rsidR="00151F63">
        <w:t xml:space="preserve"> and the High Level Group on Health Services and Medical care.</w:t>
      </w:r>
      <w:r w:rsidR="00151F63">
        <w:rPr>
          <w:rStyle w:val="FootnoteReference"/>
        </w:rPr>
        <w:footnoteReference w:id="2"/>
      </w:r>
    </w:p>
    <w:p w:rsidR="00151F63" w:rsidRDefault="00151F63" w:rsidP="00801C17">
      <w:pPr>
        <w:jc w:val="both"/>
      </w:pPr>
      <w:r>
        <w:t>Consultation on the specific initiative on cross-border healthcare started formally in</w:t>
      </w:r>
      <w:r w:rsidR="00801C17">
        <w:t xml:space="preserve"> </w:t>
      </w:r>
      <w:r>
        <w:t>September 2006 with the publication of a Communication</w:t>
      </w:r>
      <w:r>
        <w:rPr>
          <w:rStyle w:val="FootnoteReference"/>
        </w:rPr>
        <w:footnoteReference w:id="3"/>
      </w:r>
      <w:r>
        <w:t xml:space="preserve"> inviting all relevant stakeholders</w:t>
      </w:r>
      <w:r w:rsidR="00801C17">
        <w:t xml:space="preserve"> </w:t>
      </w:r>
      <w:r>
        <w:t>to contribu</w:t>
      </w:r>
      <w:r w:rsidR="00801C17">
        <w:t xml:space="preserve">te to a </w:t>
      </w:r>
      <w:r>
        <w:t>consultation process. The Communication as well as the full summary report of the</w:t>
      </w:r>
      <w:r w:rsidR="00801C17">
        <w:t xml:space="preserve"> </w:t>
      </w:r>
      <w:r>
        <w:t>responses</w:t>
      </w:r>
      <w:r>
        <w:rPr>
          <w:rStyle w:val="FootnoteReference"/>
        </w:rPr>
        <w:footnoteReference w:id="4"/>
      </w:r>
      <w:r>
        <w:t xml:space="preserve"> was published on the Commission website.</w:t>
      </w:r>
      <w:r>
        <w:rPr>
          <w:rStyle w:val="FootnoteReference"/>
        </w:rPr>
        <w:footnoteReference w:id="5"/>
      </w:r>
    </w:p>
    <w:p w:rsidR="00151F63" w:rsidRDefault="00151F63" w:rsidP="00801C17">
      <w:pPr>
        <w:jc w:val="both"/>
      </w:pPr>
      <w:r>
        <w:t>The Commission received 280 responses to this consultation from a wide range of</w:t>
      </w:r>
      <w:r w:rsidR="00801C17">
        <w:t xml:space="preserve"> </w:t>
      </w:r>
      <w:r>
        <w:t>stakeholders, including health professional organisations, health care providers, national and</w:t>
      </w:r>
      <w:r w:rsidR="00801C17">
        <w:t xml:space="preserve"> </w:t>
      </w:r>
      <w:r>
        <w:t>regional governments, insurers, the industry and individual citizens. A wide range of issues</w:t>
      </w:r>
      <w:r w:rsidR="00801C17">
        <w:t xml:space="preserve"> </w:t>
      </w:r>
      <w:r>
        <w:t xml:space="preserve">related to healthcare, and in particular to cross-border healthcare, in Europe </w:t>
      </w:r>
      <w:r w:rsidR="00CE74BC">
        <w:t>were</w:t>
      </w:r>
      <w:r>
        <w:t xml:space="preserve"> raised. </w:t>
      </w:r>
      <w:r w:rsidR="00E936B1">
        <w:t xml:space="preserve">The full list of participants available at: </w:t>
      </w:r>
      <w:hyperlink r:id="rId8" w:history="1">
        <w:r w:rsidR="00E936B1" w:rsidRPr="00CF5A4C">
          <w:rPr>
            <w:rStyle w:val="Hyperlink"/>
          </w:rPr>
          <w:t>http://ec.europa.eu/health/healthcare/consultations/results_open_consultation_en.htm</w:t>
        </w:r>
      </w:hyperlink>
      <w:r w:rsidR="00E936B1">
        <w:t xml:space="preserve"> </w:t>
      </w:r>
      <w:bookmarkStart w:id="0" w:name="_GoBack"/>
      <w:bookmarkEnd w:id="0"/>
    </w:p>
    <w:p w:rsidR="00CE74BC" w:rsidRDefault="00CE74BC" w:rsidP="00CE74BC">
      <w:r>
        <w:rPr>
          <w:b/>
        </w:rPr>
        <w:t xml:space="preserve">Organised Interest Activity </w:t>
      </w:r>
      <w:r>
        <w:t>(n</w:t>
      </w:r>
      <w:r w:rsidRPr="00BD4EB7">
        <w:t xml:space="preserve">o submissions </w:t>
      </w:r>
      <w:r>
        <w:t>available)</w:t>
      </w:r>
      <w:r w:rsidRPr="003E2903">
        <w:rPr>
          <w:b/>
        </w:rPr>
        <w:t>:</w:t>
      </w:r>
      <w:r>
        <w:t xml:space="preserve"> </w:t>
      </w:r>
    </w:p>
    <w:p w:rsidR="00CE74BC" w:rsidRPr="00BD4EB7" w:rsidRDefault="00CE74BC" w:rsidP="00CE74BC">
      <w:r>
        <w:t>…………..</w:t>
      </w:r>
    </w:p>
    <w:p w:rsidR="00CE74BC" w:rsidRDefault="00CE74BC" w:rsidP="00CE74BC">
      <w:pPr>
        <w:rPr>
          <w:b/>
        </w:rPr>
      </w:pPr>
      <w:r>
        <w:rPr>
          <w:b/>
        </w:rPr>
        <w:t>Issues</w:t>
      </w:r>
      <w:r w:rsidRPr="0054653F">
        <w:rPr>
          <w:b/>
        </w:rPr>
        <w:t>:</w:t>
      </w:r>
      <w:r>
        <w:rPr>
          <w:b/>
        </w:rPr>
        <w:t xml:space="preserve"> </w:t>
      </w:r>
    </w:p>
    <w:p w:rsidR="00CE74BC" w:rsidRDefault="00083B1B" w:rsidP="00CE74BC">
      <w:pPr>
        <w:pStyle w:val="ListParagraph"/>
        <w:numPr>
          <w:ilvl w:val="0"/>
          <w:numId w:val="3"/>
        </w:numPr>
        <w:jc w:val="both"/>
      </w:pPr>
      <w:r>
        <w:t xml:space="preserve">a need for </w:t>
      </w:r>
      <w:r w:rsidRPr="00CE74BC">
        <w:rPr>
          <w:b/>
          <w:i/>
        </w:rPr>
        <w:t>more and clearer information to</w:t>
      </w:r>
      <w:r w:rsidR="00801C17" w:rsidRPr="00CE74BC">
        <w:rPr>
          <w:b/>
          <w:i/>
        </w:rPr>
        <w:t xml:space="preserve"> </w:t>
      </w:r>
      <w:r w:rsidRPr="00CE74BC">
        <w:rPr>
          <w:b/>
          <w:i/>
        </w:rPr>
        <w:t>patients with regard to cross-border care</w:t>
      </w:r>
    </w:p>
    <w:p w:rsidR="00934CED" w:rsidRPr="00934CED" w:rsidRDefault="00934CED" w:rsidP="00CE74BC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CE74BC">
        <w:t>g</w:t>
      </w:r>
      <w:r w:rsidR="00083B1B">
        <w:t>reater clarity over instruments to control patient</w:t>
      </w:r>
      <w:r w:rsidR="00801C17">
        <w:t xml:space="preserve"> </w:t>
      </w:r>
      <w:r w:rsidR="00083B1B">
        <w:t xml:space="preserve">flows in cross-border care and in particular over the </w:t>
      </w:r>
      <w:r w:rsidR="00083B1B" w:rsidRPr="00934CED">
        <w:rPr>
          <w:b/>
          <w:i/>
        </w:rPr>
        <w:t>conditions under which prior</w:t>
      </w:r>
      <w:r w:rsidR="00801C17" w:rsidRPr="00934CED">
        <w:rPr>
          <w:b/>
          <w:i/>
        </w:rPr>
        <w:t xml:space="preserve"> </w:t>
      </w:r>
      <w:r w:rsidR="00083B1B" w:rsidRPr="00934CED">
        <w:rPr>
          <w:b/>
          <w:i/>
        </w:rPr>
        <w:t>authorisation for cross-border care is justified and can be refused</w:t>
      </w:r>
    </w:p>
    <w:p w:rsidR="00934CED" w:rsidRDefault="00934CED" w:rsidP="009E4CA6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083B1B">
        <w:t xml:space="preserve">responsibility for </w:t>
      </w:r>
      <w:r w:rsidR="00083B1B" w:rsidRPr="00934CED">
        <w:rPr>
          <w:b/>
          <w:i/>
        </w:rPr>
        <w:t>clinical oversight</w:t>
      </w:r>
      <w:r w:rsidR="00801C17">
        <w:t xml:space="preserve"> </w:t>
      </w:r>
    </w:p>
    <w:p w:rsidR="00934CED" w:rsidRDefault="00934CED" w:rsidP="009E4CA6">
      <w:pPr>
        <w:pStyle w:val="ListParagraph"/>
        <w:numPr>
          <w:ilvl w:val="0"/>
          <w:numId w:val="3"/>
        </w:numPr>
        <w:jc w:val="both"/>
      </w:pPr>
      <w:r w:rsidRPr="00934CED">
        <w:rPr>
          <w:b/>
          <w:i/>
        </w:rPr>
        <w:t>liability</w:t>
      </w:r>
      <w:r w:rsidR="00083B1B" w:rsidRPr="00934CED">
        <w:rPr>
          <w:b/>
          <w:i/>
        </w:rPr>
        <w:t xml:space="preserve"> for harm</w:t>
      </w:r>
      <w:r w:rsidR="00801C17">
        <w:t xml:space="preserve"> </w:t>
      </w:r>
      <w:r w:rsidR="00083B1B">
        <w:t>and any redress</w:t>
      </w:r>
      <w:r>
        <w:t>es</w:t>
      </w:r>
      <w:r w:rsidR="00083B1B">
        <w:t xml:space="preserve"> arising</w:t>
      </w:r>
    </w:p>
    <w:p w:rsidR="0051158B" w:rsidRDefault="0051158B" w:rsidP="009E4CA6">
      <w:pPr>
        <w:pStyle w:val="ListParagraph"/>
        <w:numPr>
          <w:ilvl w:val="0"/>
          <w:numId w:val="3"/>
        </w:numPr>
        <w:jc w:val="both"/>
      </w:pPr>
      <w:r>
        <w:rPr>
          <w:b/>
          <w:i/>
        </w:rPr>
        <w:t>reimbursement of cross-border treatment</w:t>
      </w:r>
    </w:p>
    <w:p w:rsidR="00934CED" w:rsidRDefault="00934CED" w:rsidP="00934CED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a free </w:t>
      </w:r>
      <w:r w:rsidR="00083B1B">
        <w:t xml:space="preserve">cross-border care </w:t>
      </w:r>
      <w:r>
        <w:t xml:space="preserve">as source of </w:t>
      </w:r>
      <w:r w:rsidRPr="00934CED">
        <w:rPr>
          <w:b/>
          <w:i/>
        </w:rPr>
        <w:t>worsening of h</w:t>
      </w:r>
      <w:r>
        <w:rPr>
          <w:b/>
          <w:i/>
        </w:rPr>
        <w:t xml:space="preserve">ealthcare </w:t>
      </w:r>
      <w:r>
        <w:t>some MSs (</w:t>
      </w:r>
      <w:r w:rsidR="00083B1B">
        <w:t>in particular with regard</w:t>
      </w:r>
      <w:r w:rsidR="009E4CA6">
        <w:t xml:space="preserve"> </w:t>
      </w:r>
      <w:r w:rsidR="00083B1B">
        <w:t>to how to prioritise different patients and setting fair prices for cross-border care</w:t>
      </w:r>
      <w:r w:rsidR="009E4CA6">
        <w:t xml:space="preserve"> </w:t>
      </w:r>
      <w:r w:rsidR="00083B1B">
        <w:t>provided</w:t>
      </w:r>
      <w:r>
        <w:t xml:space="preserve">) </w:t>
      </w:r>
      <w:r w:rsidRPr="00934CED">
        <w:rPr>
          <w:b/>
          <w:i/>
        </w:rPr>
        <w:t>vs.</w:t>
      </w:r>
      <w:r>
        <w:t xml:space="preserve"> </w:t>
      </w:r>
      <w:r w:rsidR="00083B1B">
        <w:t>increased cross-border care</w:t>
      </w:r>
      <w:r w:rsidR="009E4CA6">
        <w:t xml:space="preserve"> </w:t>
      </w:r>
      <w:r>
        <w:t xml:space="preserve">and </w:t>
      </w:r>
      <w:r w:rsidR="00083B1B">
        <w:t xml:space="preserve">a </w:t>
      </w:r>
      <w:r w:rsidR="00083B1B" w:rsidRPr="00934CED">
        <w:rPr>
          <w:b/>
          <w:i/>
        </w:rPr>
        <w:t>positive ef</w:t>
      </w:r>
      <w:r w:rsidRPr="00934CED">
        <w:rPr>
          <w:b/>
          <w:i/>
        </w:rPr>
        <w:t>fect on domestic care provision</w:t>
      </w:r>
    </w:p>
    <w:p w:rsidR="00934CED" w:rsidRDefault="00934CED" w:rsidP="00934CED">
      <w:pPr>
        <w:pStyle w:val="ListParagraph"/>
        <w:numPr>
          <w:ilvl w:val="0"/>
          <w:numId w:val="3"/>
        </w:numPr>
        <w:jc w:val="both"/>
      </w:pPr>
      <w:r>
        <w:t>a</w:t>
      </w:r>
      <w:r w:rsidR="00083B1B">
        <w:t xml:space="preserve"> better monitoring of health</w:t>
      </w:r>
      <w:r w:rsidR="009E4CA6">
        <w:t xml:space="preserve"> </w:t>
      </w:r>
      <w:r w:rsidR="00083B1B">
        <w:t>professional mobility</w:t>
      </w:r>
      <w:r>
        <w:t xml:space="preserve"> (including </w:t>
      </w:r>
      <w:r w:rsidR="00083B1B" w:rsidRPr="00934CED">
        <w:rPr>
          <w:b/>
          <w:i/>
        </w:rPr>
        <w:t>rules on</w:t>
      </w:r>
      <w:r w:rsidR="009E4CA6" w:rsidRPr="00934CED">
        <w:rPr>
          <w:b/>
          <w:i/>
        </w:rPr>
        <w:t xml:space="preserve"> </w:t>
      </w:r>
      <w:r w:rsidR="00083B1B" w:rsidRPr="00934CED">
        <w:rPr>
          <w:b/>
          <w:i/>
        </w:rPr>
        <w:t>recognition of professional qualifications</w:t>
      </w:r>
      <w:r>
        <w:t>)</w:t>
      </w:r>
    </w:p>
    <w:p w:rsidR="00225908" w:rsidRDefault="00225908" w:rsidP="00934CED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9E4CA6">
        <w:t xml:space="preserve">respect </w:t>
      </w:r>
      <w:r>
        <w:t xml:space="preserve">of </w:t>
      </w:r>
      <w:r w:rsidR="009E4CA6">
        <w:t xml:space="preserve">the </w:t>
      </w:r>
      <w:r w:rsidR="009E4CA6" w:rsidRPr="00225908">
        <w:rPr>
          <w:b/>
          <w:i/>
        </w:rPr>
        <w:t xml:space="preserve">subsidiarity </w:t>
      </w:r>
      <w:r w:rsidR="00083B1B" w:rsidRPr="00225908">
        <w:rPr>
          <w:b/>
          <w:i/>
        </w:rPr>
        <w:t>principle</w:t>
      </w:r>
      <w:r w:rsidR="00083B1B">
        <w:t xml:space="preserve"> </w:t>
      </w:r>
      <w:r>
        <w:t xml:space="preserve">(the </w:t>
      </w:r>
      <w:r w:rsidR="00083B1B">
        <w:t xml:space="preserve"> Article 152</w:t>
      </w:r>
      <w:r>
        <w:t xml:space="preserve"> of </w:t>
      </w:r>
      <w:r w:rsidR="009E4CA6">
        <w:t xml:space="preserve">the Treaty establishing the </w:t>
      </w:r>
      <w:r>
        <w:t xml:space="preserve">European Community vs. </w:t>
      </w:r>
      <w:r w:rsidR="00083B1B">
        <w:t>EU fundamental freedoms</w:t>
      </w:r>
      <w:r>
        <w:t>)</w:t>
      </w:r>
    </w:p>
    <w:p w:rsidR="001F231C" w:rsidRDefault="00BD4EB7" w:rsidP="00151F63">
      <w:pPr>
        <w:rPr>
          <w:b/>
        </w:rPr>
      </w:pPr>
      <w:r>
        <w:rPr>
          <w:b/>
        </w:rPr>
        <w:t>Frames:</w:t>
      </w:r>
      <w:r w:rsidR="00C77A26">
        <w:rPr>
          <w:b/>
        </w:rPr>
        <w:t xml:space="preserve"> </w:t>
      </w:r>
    </w:p>
    <w:p w:rsidR="00225908" w:rsidRDefault="00225908" w:rsidP="00225908">
      <w:pPr>
        <w:pStyle w:val="ListParagraph"/>
        <w:numPr>
          <w:ilvl w:val="0"/>
          <w:numId w:val="4"/>
        </w:numPr>
      </w:pPr>
      <w:r w:rsidRPr="00225908">
        <w:t>free movement of health services</w:t>
      </w:r>
      <w:r>
        <w:t xml:space="preserve"> (common principles and clear quality and safety standards applicable to all healthcare services in order to ensure the </w:t>
      </w:r>
      <w:r w:rsidRPr="00225908">
        <w:rPr>
          <w:b/>
          <w:i/>
        </w:rPr>
        <w:t>freedom to provide and obtain cross border healthcare</w:t>
      </w:r>
      <w:r>
        <w:t>)</w:t>
      </w:r>
    </w:p>
    <w:p w:rsidR="0051158B" w:rsidRPr="0051158B" w:rsidRDefault="00225908" w:rsidP="0051158B">
      <w:pPr>
        <w:pStyle w:val="ListParagraph"/>
        <w:numPr>
          <w:ilvl w:val="0"/>
          <w:numId w:val="4"/>
        </w:numPr>
        <w:rPr>
          <w:b/>
          <w:i/>
        </w:rPr>
      </w:pPr>
      <w:r>
        <w:t xml:space="preserve">Member States’ </w:t>
      </w:r>
      <w:r w:rsidRPr="00225908">
        <w:rPr>
          <w:b/>
          <w:i/>
        </w:rPr>
        <w:t>freedom to organise</w:t>
      </w:r>
      <w:r>
        <w:t xml:space="preserve"> their </w:t>
      </w:r>
      <w:r w:rsidRPr="00225908">
        <w:rPr>
          <w:b/>
          <w:i/>
        </w:rPr>
        <w:t>health systems</w:t>
      </w:r>
    </w:p>
    <w:p w:rsidR="0051158B" w:rsidRPr="0051158B" w:rsidRDefault="0051158B" w:rsidP="0051158B">
      <w:pPr>
        <w:pStyle w:val="ListParagraph"/>
        <w:numPr>
          <w:ilvl w:val="0"/>
          <w:numId w:val="4"/>
        </w:numPr>
      </w:pPr>
      <w:r w:rsidRPr="0051158B">
        <w:rPr>
          <w:b/>
          <w:i/>
        </w:rPr>
        <w:t>free movement of services</w:t>
      </w:r>
      <w:r>
        <w:t xml:space="preserve"> (in relation to the aim of functioning Common Internal Market) </w:t>
      </w:r>
    </w:p>
    <w:p w:rsidR="001F231C" w:rsidRDefault="00BD4EB7" w:rsidP="001F231C">
      <w:r>
        <w:rPr>
          <w:b/>
        </w:rPr>
        <w:t>Other Information:</w:t>
      </w:r>
      <w:r w:rsidR="000253F8">
        <w:rPr>
          <w:b/>
        </w:rPr>
        <w:t xml:space="preserve"> </w:t>
      </w:r>
    </w:p>
    <w:p w:rsidR="00757F91" w:rsidRDefault="001F231C">
      <w:r>
        <w:t>………………</w:t>
      </w:r>
    </w:p>
    <w:sectPr w:rsidR="00757F91" w:rsidSect="00DD5408">
      <w:footerReference w:type="default" r:id="rId9"/>
      <w:pgSz w:w="11906" w:h="16838"/>
      <w:pgMar w:top="1440" w:right="1134" w:bottom="124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02" w:rsidRDefault="00020C02" w:rsidP="00DD5408">
      <w:pPr>
        <w:spacing w:after="0" w:line="240" w:lineRule="auto"/>
      </w:pPr>
      <w:r>
        <w:separator/>
      </w:r>
    </w:p>
  </w:endnote>
  <w:endnote w:type="continuationSeparator" w:id="0">
    <w:p w:rsidR="00020C02" w:rsidRDefault="00020C02" w:rsidP="00DD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0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408" w:rsidRDefault="00CE0F06">
        <w:pPr>
          <w:pStyle w:val="Footer"/>
          <w:jc w:val="right"/>
        </w:pPr>
        <w:r>
          <w:fldChar w:fldCharType="begin"/>
        </w:r>
        <w:r w:rsidR="00DD5408">
          <w:instrText xml:space="preserve"> PAGE   \* MERGEFORMAT </w:instrText>
        </w:r>
        <w:r>
          <w:fldChar w:fldCharType="separate"/>
        </w:r>
        <w:r w:rsidR="00165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408" w:rsidRDefault="00DD5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02" w:rsidRDefault="00020C02" w:rsidP="00DD5408">
      <w:pPr>
        <w:spacing w:after="0" w:line="240" w:lineRule="auto"/>
      </w:pPr>
      <w:r>
        <w:separator/>
      </w:r>
    </w:p>
  </w:footnote>
  <w:footnote w:type="continuationSeparator" w:id="0">
    <w:p w:rsidR="00020C02" w:rsidRDefault="00020C02" w:rsidP="00DD5408">
      <w:pPr>
        <w:spacing w:after="0" w:line="240" w:lineRule="auto"/>
      </w:pPr>
      <w:r>
        <w:continuationSeparator/>
      </w:r>
    </w:p>
  </w:footnote>
  <w:footnote w:id="1">
    <w:p w:rsidR="00151F63" w:rsidRPr="00151F63" w:rsidRDefault="00151F63" w:rsidP="00151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last Open Health Forum attracted around 380 participants from a wide range of health</w:t>
      </w:r>
      <w:r w:rsidR="00934CED">
        <w:t xml:space="preserve"> </w:t>
      </w:r>
      <w:r>
        <w:t>organisations. The Forum recommended during its conference in November 2005 that the Commission</w:t>
      </w:r>
      <w:r w:rsidR="00934CED">
        <w:t xml:space="preserve"> </w:t>
      </w:r>
      <w:r>
        <w:t>should address the potential of targeted healthcare legislation, because subsidiarity is not a sufficient</w:t>
      </w:r>
      <w:r w:rsidR="00934CED">
        <w:t xml:space="preserve"> </w:t>
      </w:r>
      <w:r>
        <w:t>guarantee of meeting the promise of universal access to high quality healthcare. The Forum also</w:t>
      </w:r>
      <w:r w:rsidR="00934CED">
        <w:t xml:space="preserve"> </w:t>
      </w:r>
      <w:r>
        <w:t>confirmed the need for strong and fully implemented safeguards of patient safety at EU level whilst</w:t>
      </w:r>
      <w:r w:rsidR="00934CED">
        <w:t xml:space="preserve"> </w:t>
      </w:r>
      <w:r>
        <w:t>respecting for the capacity of national rules guaranteeing quality and safety. The Forum also</w:t>
      </w:r>
      <w:r w:rsidR="00934CED">
        <w:t xml:space="preserve"> </w:t>
      </w:r>
      <w:r>
        <w:t xml:space="preserve">recommended </w:t>
      </w:r>
      <w:proofErr w:type="gramStart"/>
      <w:r>
        <w:t>to establish</w:t>
      </w:r>
      <w:proofErr w:type="gramEnd"/>
      <w:r>
        <w:t xml:space="preserve"> an internet portal for the free exchange of data, evidence and practice to</w:t>
      </w:r>
      <w:r w:rsidR="00934CED">
        <w:t xml:space="preserve"> </w:t>
      </w:r>
      <w:r w:rsidRPr="00151F63">
        <w:rPr>
          <w:lang w:val="en-US"/>
        </w:rPr>
        <w:t>foster continuous learning and innovation, Final Report of the Open Health Forum, Health challenges</w:t>
      </w:r>
      <w:r w:rsidR="00934CED">
        <w:rPr>
          <w:lang w:val="en-US"/>
        </w:rPr>
        <w:t xml:space="preserve"> </w:t>
      </w:r>
      <w:r w:rsidRPr="00151F63">
        <w:rPr>
          <w:lang w:val="en-US"/>
        </w:rPr>
        <w:t>and future strategy, European Public Health Alliance (2005).</w:t>
      </w:r>
    </w:p>
  </w:footnote>
  <w:footnote w:id="2">
    <w:p w:rsidR="00151F63" w:rsidRPr="00151F63" w:rsidRDefault="00151F63" w:rsidP="00151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All EU Member States are represented in the High Level Group on Health Services and Medical Care,</w:t>
      </w:r>
      <w:r w:rsidR="00934CED">
        <w:t xml:space="preserve"> </w:t>
      </w:r>
      <w:r>
        <w:t>observers from the EEA/EFTA states as well as representatives from civil society have also been</w:t>
      </w:r>
      <w:r w:rsidR="00934CED">
        <w:t xml:space="preserve"> </w:t>
      </w:r>
      <w:r>
        <w:t>involved in the work of this group; Report on the work of the High Level Group on Health Services and</w:t>
      </w:r>
      <w:r w:rsidR="00934CED">
        <w:t xml:space="preserve"> </w:t>
      </w:r>
      <w:r>
        <w:t>Medical Care in 2006, European Commission (2006).</w:t>
      </w:r>
    </w:p>
  </w:footnote>
  <w:footnote w:id="3">
    <w:p w:rsidR="00151F63" w:rsidRPr="00934CED" w:rsidRDefault="00151F63" w:rsidP="00151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Commission Communication, Consultation regarding Community action on health services, SEC</w:t>
      </w:r>
      <w:r w:rsidR="00934CED">
        <w:t xml:space="preserve"> </w:t>
      </w:r>
      <w:r>
        <w:t>(2006) 1195/4, 26 September 2006.</w:t>
      </w:r>
      <w:proofErr w:type="gramEnd"/>
    </w:p>
  </w:footnote>
  <w:footnote w:id="4">
    <w:p w:rsidR="00151F63" w:rsidRPr="00934CED" w:rsidRDefault="00151F63" w:rsidP="00151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Commission document, Summary report of the responses to the consultation regarding "Community</w:t>
      </w:r>
      <w:r w:rsidR="00934CED">
        <w:t xml:space="preserve"> </w:t>
      </w:r>
      <w:r>
        <w:t>action on health services" (2007)</w:t>
      </w:r>
    </w:p>
  </w:footnote>
  <w:footnote w:id="5">
    <w:p w:rsidR="00151F63" w:rsidRPr="00E936B1" w:rsidRDefault="00151F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936B1">
        <w:rPr>
          <w:lang w:val="en-US"/>
        </w:rPr>
        <w:t xml:space="preserve"> </w:t>
      </w:r>
      <w:hyperlink r:id="rId1" w:history="1">
        <w:r w:rsidR="00E936B1" w:rsidRPr="00E936B1">
          <w:rPr>
            <w:rStyle w:val="Hyperlink"/>
            <w:lang w:val="en-US"/>
          </w:rPr>
          <w:t>http://ec.europa.eu/health/ph_overview/co_operation/mobility/results_open_consultation_en.htm</w:t>
        </w:r>
      </w:hyperlink>
    </w:p>
    <w:p w:rsidR="00E936B1" w:rsidRDefault="00CE0F06">
      <w:pPr>
        <w:pStyle w:val="FootnoteText"/>
        <w:rPr>
          <w:lang w:val="en-US"/>
        </w:rPr>
      </w:pPr>
      <w:hyperlink r:id="rId2" w:history="1">
        <w:r w:rsidR="00E936B1" w:rsidRPr="00CF5A4C">
          <w:rPr>
            <w:rStyle w:val="Hyperlink"/>
            <w:lang w:val="en-US"/>
          </w:rPr>
          <w:t>http://ec.europa.eu/health/healthcare/consultations/results_open_consultation_en.htm</w:t>
        </w:r>
      </w:hyperlink>
    </w:p>
    <w:p w:rsidR="00E936B1" w:rsidRPr="00E936B1" w:rsidRDefault="00E936B1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DE8"/>
    <w:multiLevelType w:val="hybridMultilevel"/>
    <w:tmpl w:val="717058A6"/>
    <w:lvl w:ilvl="0" w:tplc="26D888B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3375"/>
    <w:multiLevelType w:val="hybridMultilevel"/>
    <w:tmpl w:val="DA2A3672"/>
    <w:lvl w:ilvl="0" w:tplc="0A7ED556">
      <w:numFmt w:val="bullet"/>
      <w:lvlText w:val="&gt;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553F"/>
    <w:multiLevelType w:val="hybridMultilevel"/>
    <w:tmpl w:val="A9441A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E02E3"/>
    <w:multiLevelType w:val="hybridMultilevel"/>
    <w:tmpl w:val="013EF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6BF7"/>
    <w:rsid w:val="00020C02"/>
    <w:rsid w:val="000253F8"/>
    <w:rsid w:val="000368DB"/>
    <w:rsid w:val="0007481A"/>
    <w:rsid w:val="00083B1B"/>
    <w:rsid w:val="000C32FB"/>
    <w:rsid w:val="000F2A37"/>
    <w:rsid w:val="0010671D"/>
    <w:rsid w:val="00122C69"/>
    <w:rsid w:val="00151F63"/>
    <w:rsid w:val="00164ECC"/>
    <w:rsid w:val="00165561"/>
    <w:rsid w:val="00177A71"/>
    <w:rsid w:val="001943F9"/>
    <w:rsid w:val="001F231C"/>
    <w:rsid w:val="00214C86"/>
    <w:rsid w:val="00223E98"/>
    <w:rsid w:val="00225908"/>
    <w:rsid w:val="002607CB"/>
    <w:rsid w:val="00274E78"/>
    <w:rsid w:val="0029072D"/>
    <w:rsid w:val="00297DF2"/>
    <w:rsid w:val="003935B4"/>
    <w:rsid w:val="003A44DA"/>
    <w:rsid w:val="003E2903"/>
    <w:rsid w:val="00402787"/>
    <w:rsid w:val="00417A10"/>
    <w:rsid w:val="00491D99"/>
    <w:rsid w:val="004C3936"/>
    <w:rsid w:val="004C654F"/>
    <w:rsid w:val="0051158B"/>
    <w:rsid w:val="005364FB"/>
    <w:rsid w:val="0054653F"/>
    <w:rsid w:val="00556BF7"/>
    <w:rsid w:val="0057056E"/>
    <w:rsid w:val="005B721B"/>
    <w:rsid w:val="005C2AA1"/>
    <w:rsid w:val="005E65B7"/>
    <w:rsid w:val="005F39A1"/>
    <w:rsid w:val="006855C4"/>
    <w:rsid w:val="006B5084"/>
    <w:rsid w:val="006D0D74"/>
    <w:rsid w:val="006E2EF2"/>
    <w:rsid w:val="00740E9C"/>
    <w:rsid w:val="00757F91"/>
    <w:rsid w:val="00764D2F"/>
    <w:rsid w:val="007A4E3E"/>
    <w:rsid w:val="007B76D8"/>
    <w:rsid w:val="007C4782"/>
    <w:rsid w:val="00801C17"/>
    <w:rsid w:val="00822BA7"/>
    <w:rsid w:val="008614A3"/>
    <w:rsid w:val="00862926"/>
    <w:rsid w:val="008720E6"/>
    <w:rsid w:val="008746A8"/>
    <w:rsid w:val="00892653"/>
    <w:rsid w:val="00892FFA"/>
    <w:rsid w:val="008C143A"/>
    <w:rsid w:val="00934CED"/>
    <w:rsid w:val="00953928"/>
    <w:rsid w:val="00970B76"/>
    <w:rsid w:val="009E4CA6"/>
    <w:rsid w:val="009F78CF"/>
    <w:rsid w:val="00A21C16"/>
    <w:rsid w:val="00A402ED"/>
    <w:rsid w:val="00A43856"/>
    <w:rsid w:val="00B70DD3"/>
    <w:rsid w:val="00B92253"/>
    <w:rsid w:val="00BD4EB7"/>
    <w:rsid w:val="00C1198B"/>
    <w:rsid w:val="00C77A26"/>
    <w:rsid w:val="00C852AD"/>
    <w:rsid w:val="00CC719D"/>
    <w:rsid w:val="00CE0F06"/>
    <w:rsid w:val="00CE74BC"/>
    <w:rsid w:val="00D210EF"/>
    <w:rsid w:val="00D600F3"/>
    <w:rsid w:val="00D6366B"/>
    <w:rsid w:val="00DB085E"/>
    <w:rsid w:val="00DC077D"/>
    <w:rsid w:val="00DD5408"/>
    <w:rsid w:val="00E8486F"/>
    <w:rsid w:val="00E936B1"/>
    <w:rsid w:val="00E93EB1"/>
    <w:rsid w:val="00EB3C9F"/>
    <w:rsid w:val="00EC1244"/>
    <w:rsid w:val="00F07B8E"/>
    <w:rsid w:val="00F36C92"/>
    <w:rsid w:val="00FE06FB"/>
    <w:rsid w:val="00FF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08"/>
  </w:style>
  <w:style w:type="paragraph" w:styleId="Footer">
    <w:name w:val="footer"/>
    <w:basedOn w:val="Normal"/>
    <w:link w:val="FooterChar"/>
    <w:uiPriority w:val="99"/>
    <w:unhideWhenUsed/>
    <w:rsid w:val="00DD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08"/>
  </w:style>
  <w:style w:type="paragraph" w:styleId="TOC1">
    <w:name w:val="toc 1"/>
    <w:basedOn w:val="Normal"/>
    <w:next w:val="Normal"/>
    <w:autoRedefine/>
    <w:uiPriority w:val="39"/>
    <w:semiHidden/>
    <w:unhideWhenUsed/>
    <w:rsid w:val="000368DB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1F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F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F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3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5408"/>
  </w:style>
  <w:style w:type="paragraph" w:styleId="Fuzeile">
    <w:name w:val="footer"/>
    <w:basedOn w:val="Standard"/>
    <w:link w:val="FuzeileZchn"/>
    <w:uiPriority w:val="99"/>
    <w:unhideWhenUsed/>
    <w:rsid w:val="00DD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5408"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368DB"/>
    <w:pPr>
      <w:spacing w:after="10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51F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1F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1F6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B3C9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3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health/healthcare/consultations/results_open_consultation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health/healthcare/consultations/results_open_consultation_en.htm" TargetMode="External"/><Relationship Id="rId1" Type="http://schemas.openxmlformats.org/officeDocument/2006/relationships/hyperlink" Target="http://ec.europa.eu/health/ph_overview/co_operation/mobility/results_open_consultation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CBDC-CAB6-4565-8837-7E7DA4E8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2011-11-24T14:27:00Z</cp:lastPrinted>
  <dcterms:created xsi:type="dcterms:W3CDTF">2011-12-15T14:40:00Z</dcterms:created>
  <dcterms:modified xsi:type="dcterms:W3CDTF">2012-11-07T16:23:00Z</dcterms:modified>
</cp:coreProperties>
</file>