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68" w:rsidRDefault="00F91D28" w:rsidP="00836968">
      <w:pPr>
        <w:jc w:val="center"/>
        <w:rPr>
          <w:b/>
        </w:rPr>
      </w:pPr>
      <w:r>
        <w:rPr>
          <w:b/>
        </w:rPr>
        <w:t xml:space="preserve">Directive: </w:t>
      </w:r>
      <w:r w:rsidR="00F068A5">
        <w:rPr>
          <w:b/>
        </w:rPr>
        <w:t>Consumer Rights</w:t>
      </w:r>
    </w:p>
    <w:p w:rsidR="00D94C6E" w:rsidRPr="00836968" w:rsidRDefault="00D94C6E" w:rsidP="00D94C6E">
      <w:r w:rsidRPr="0029072D">
        <w:rPr>
          <w:b/>
        </w:rPr>
        <w:t>ID:</w:t>
      </w:r>
      <w:r w:rsidR="00F068A5">
        <w:t xml:space="preserve"> 30</w:t>
      </w:r>
      <w:r>
        <w:t xml:space="preserve">  </w:t>
      </w:r>
      <w:r w:rsidRPr="0029072D">
        <w:rPr>
          <w:b/>
        </w:rPr>
        <w:t>Code</w:t>
      </w:r>
      <w:r>
        <w:rPr>
          <w:b/>
        </w:rPr>
        <w:t>:</w:t>
      </w:r>
      <w:r w:rsidRPr="00D94C6E">
        <w:t xml:space="preserve"> COM(2008)</w:t>
      </w:r>
      <w:r w:rsidR="00F068A5">
        <w:t xml:space="preserve"> 614</w:t>
      </w:r>
      <w:r>
        <w:t xml:space="preserve"> </w:t>
      </w:r>
      <w:r w:rsidRPr="006B5084">
        <w:rPr>
          <w:b/>
        </w:rPr>
        <w:t>Type:</w:t>
      </w:r>
      <w:r>
        <w:rPr>
          <w:b/>
        </w:rPr>
        <w:t xml:space="preserve"> </w:t>
      </w:r>
      <w:r>
        <w:t>Directive</w:t>
      </w:r>
      <w:r>
        <w:rPr>
          <w:b/>
        </w:rPr>
        <w:t xml:space="preserve"> </w:t>
      </w:r>
      <w:r w:rsidRPr="0029072D">
        <w:rPr>
          <w:b/>
        </w:rPr>
        <w:t>Date of Proposal:</w:t>
      </w:r>
      <w:r w:rsidR="00836968">
        <w:rPr>
          <w:b/>
        </w:rPr>
        <w:t xml:space="preserve"> </w:t>
      </w:r>
      <w:r w:rsidR="00F068A5" w:rsidRPr="00F068A5">
        <w:t>8.</w:t>
      </w:r>
      <w:r w:rsidR="00F068A5">
        <w:t>10</w:t>
      </w:r>
      <w:r w:rsidR="00836968">
        <w:t>.2008</w:t>
      </w:r>
      <w:r>
        <w:rPr>
          <w:b/>
        </w:rPr>
        <w:t xml:space="preserve">  Current Status: </w:t>
      </w:r>
      <w:r w:rsidR="00F91D28">
        <w:t>Agreed</w:t>
      </w:r>
      <w:r w:rsidR="00836968">
        <w:t xml:space="preserve"> </w:t>
      </w:r>
      <w:r w:rsidR="00F068A5">
        <w:t>25</w:t>
      </w:r>
      <w:r w:rsidR="00836968">
        <w:t>.</w:t>
      </w:r>
      <w:r w:rsidR="00F068A5">
        <w:t>10</w:t>
      </w:r>
      <w:r w:rsidR="00836968">
        <w:t>.20</w:t>
      </w:r>
      <w:r w:rsidR="00F91D28">
        <w:t>1</w:t>
      </w:r>
      <w:r w:rsidR="00F068A5">
        <w:t>1</w:t>
      </w:r>
    </w:p>
    <w:p w:rsidR="00D94C6E" w:rsidRDefault="00D94C6E" w:rsidP="00D94C6E">
      <w:pPr>
        <w:autoSpaceDE w:val="0"/>
        <w:autoSpaceDN w:val="0"/>
        <w:adjustRightInd w:val="0"/>
        <w:spacing w:after="0" w:line="240" w:lineRule="auto"/>
      </w:pPr>
      <w:r w:rsidRPr="0029072D">
        <w:rPr>
          <w:b/>
        </w:rPr>
        <w:t>Title:</w:t>
      </w:r>
      <w:r>
        <w:t xml:space="preserve"> </w:t>
      </w:r>
      <w:r w:rsidR="00F068A5" w:rsidRPr="00F068A5">
        <w:t>Proposal for a DIRECTIVE OF THE EUROPEAN PARLIAMENT AND OF THE COUNCIL on consumer rights</w:t>
      </w:r>
    </w:p>
    <w:p w:rsidR="00D94C6E" w:rsidRDefault="00D94C6E" w:rsidP="00D94C6E">
      <w:pPr>
        <w:autoSpaceDE w:val="0"/>
        <w:autoSpaceDN w:val="0"/>
        <w:adjustRightInd w:val="0"/>
        <w:spacing w:after="0" w:line="240" w:lineRule="auto"/>
      </w:pPr>
    </w:p>
    <w:p w:rsidR="00D94C6E" w:rsidRDefault="00D94C6E" w:rsidP="00D94C6E">
      <w:pPr>
        <w:autoSpaceDE w:val="0"/>
        <w:autoSpaceDN w:val="0"/>
        <w:adjustRightInd w:val="0"/>
        <w:spacing w:after="0" w:line="240" w:lineRule="auto"/>
      </w:pPr>
      <w:r>
        <w:rPr>
          <w:b/>
        </w:rPr>
        <w:t xml:space="preserve">Identified Commission Official: </w:t>
      </w:r>
      <w:r w:rsidR="00A272CF">
        <w:rPr>
          <w:rFonts w:asciiTheme="majorHAnsi" w:hAnsiTheme="majorHAnsi" w:cs="Arial"/>
          <w:bCs/>
          <w:color w:val="000000"/>
          <w:shd w:val="clear" w:color="auto" w:fill="FFFFFF"/>
        </w:rPr>
        <w:t>DG</w:t>
      </w:r>
      <w:r w:rsidR="00F068A5" w:rsidRPr="00F068A5">
        <w:rPr>
          <w:rFonts w:asciiTheme="majorHAnsi" w:hAnsiTheme="majorHAnsi" w:cs="Arial"/>
          <w:bCs/>
          <w:color w:val="000000"/>
          <w:shd w:val="clear" w:color="auto" w:fill="FFFFFF"/>
        </w:rPr>
        <w:t xml:space="preserve"> Health and Consumer</w:t>
      </w:r>
      <w:r w:rsidR="00A272CF">
        <w:rPr>
          <w:rFonts w:asciiTheme="majorHAnsi" w:hAnsiTheme="majorHAnsi" w:cs="Arial"/>
          <w:bCs/>
          <w:color w:val="000000"/>
          <w:shd w:val="clear" w:color="auto" w:fill="FFFFFF"/>
        </w:rPr>
        <w:t>s</w:t>
      </w:r>
    </w:p>
    <w:p w:rsidR="00F068A5" w:rsidRPr="008746A8" w:rsidRDefault="00F068A5" w:rsidP="00D94C6E">
      <w:pPr>
        <w:autoSpaceDE w:val="0"/>
        <w:autoSpaceDN w:val="0"/>
        <w:adjustRightInd w:val="0"/>
        <w:spacing w:after="0" w:line="240" w:lineRule="auto"/>
      </w:pPr>
    </w:p>
    <w:p w:rsidR="00D94C6E" w:rsidRPr="00F068A5" w:rsidRDefault="00D94C6E" w:rsidP="00F068A5">
      <w:r>
        <w:rPr>
          <w:b/>
        </w:rPr>
        <w:t>Objective:</w:t>
      </w:r>
      <w:r>
        <w:t xml:space="preserve"> </w:t>
      </w:r>
      <w:r w:rsidR="00F068A5" w:rsidRPr="00F068A5">
        <w:t xml:space="preserve">The current rules </w:t>
      </w:r>
      <w:r w:rsidR="00A272CF">
        <w:t xml:space="preserve">of </w:t>
      </w:r>
      <w:r w:rsidR="00F068A5" w:rsidRPr="00F068A5">
        <w:t>EU consumer protection result from four EU Directives - Unfair contract terms, Sales and Guarantees, Distance Selling</w:t>
      </w:r>
      <w:bookmarkStart w:id="0" w:name="fnB3"/>
      <w:r w:rsidR="00642AFD" w:rsidRPr="00F068A5">
        <w:fldChar w:fldCharType="begin"/>
      </w:r>
      <w:r w:rsidR="00F068A5" w:rsidRPr="00F068A5">
        <w:instrText xml:space="preserve"> HYPERLINK "http://europa.eu/rapid/pressReleasesAction.do?reference=IP/08/1474&amp;format=HTML&amp;aged=0&amp;lg=en&amp;guiLanguage=en" \l "fn3" </w:instrText>
      </w:r>
      <w:r w:rsidR="00642AFD" w:rsidRPr="00F068A5">
        <w:fldChar w:fldCharType="end"/>
      </w:r>
      <w:bookmarkEnd w:id="0"/>
      <w:r w:rsidR="00F068A5" w:rsidRPr="00F068A5">
        <w:t>, and Doorstep Selling. </w:t>
      </w:r>
      <w:r w:rsidR="00F068A5">
        <w:t xml:space="preserve">The overarching aim of the Directive </w:t>
      </w:r>
      <w:r w:rsidR="00F068A5" w:rsidRPr="00F068A5">
        <w:t xml:space="preserve">is to achieve a real business-to-consumer internal market striking the right balance between a high level of consumer protection and the competitiveness of enterprises, while ensuring respect of </w:t>
      </w:r>
      <w:r w:rsidR="00F068A5">
        <w:t>the principle of subsidiarity. The objective of the proposal is to contribute to the better functioning of the business to-consumer internal market by enhancing consumer confidence in the internal market and reducing business reluctance to trade cross-border. This overall objective should be attained by decreasing the fragmentation, tightening up the regulatory framework and providing consumers with a high common level of consumer protection and adequate information about their rights and how to exercise them.</w:t>
      </w:r>
    </w:p>
    <w:p w:rsidR="00F068A5" w:rsidRPr="00F068A5" w:rsidRDefault="00D94C6E" w:rsidP="00F068A5">
      <w:pPr>
        <w:pStyle w:val="Titolo2"/>
        <w:shd w:val="clear" w:color="auto" w:fill="FFFFFF"/>
        <w:rPr>
          <w:rFonts w:asciiTheme="majorHAnsi" w:hAnsiTheme="majorHAnsi"/>
          <w:b w:val="0"/>
          <w:iCs/>
          <w:color w:val="000000"/>
          <w:sz w:val="22"/>
          <w:szCs w:val="22"/>
        </w:rPr>
      </w:pPr>
      <w:r w:rsidRPr="00F068A5">
        <w:rPr>
          <w:rFonts w:asciiTheme="majorHAnsi" w:hAnsiTheme="majorHAnsi"/>
          <w:sz w:val="22"/>
          <w:szCs w:val="22"/>
        </w:rPr>
        <w:t>Background:</w:t>
      </w:r>
      <w:r w:rsidRPr="00F068A5">
        <w:rPr>
          <w:rFonts w:asciiTheme="majorHAnsi" w:hAnsiTheme="majorHAnsi"/>
          <w:b w:val="0"/>
          <w:sz w:val="22"/>
          <w:szCs w:val="22"/>
        </w:rPr>
        <w:t xml:space="preserve"> </w:t>
      </w:r>
      <w:r w:rsidR="00F068A5" w:rsidRPr="00F068A5">
        <w:rPr>
          <w:rFonts w:asciiTheme="majorHAnsi" w:hAnsiTheme="majorHAnsi"/>
          <w:b w:val="0"/>
          <w:sz w:val="22"/>
          <w:szCs w:val="22"/>
        </w:rPr>
        <w:t>The costs incurred by business to comply with the fragmented Consumer Acquis are significant.</w:t>
      </w:r>
      <w:r w:rsidR="00F068A5">
        <w:rPr>
          <w:rFonts w:asciiTheme="majorHAnsi" w:hAnsiTheme="majorHAnsi"/>
          <w:b w:val="0"/>
          <w:sz w:val="22"/>
          <w:szCs w:val="22"/>
        </w:rPr>
        <w:t xml:space="preserve"> This </w:t>
      </w:r>
      <w:r w:rsidR="00F068A5">
        <w:rPr>
          <w:rFonts w:asciiTheme="majorHAnsi" w:hAnsiTheme="majorHAnsi"/>
          <w:b w:val="0"/>
          <w:iCs/>
          <w:color w:val="000000"/>
          <w:sz w:val="22"/>
          <w:szCs w:val="22"/>
        </w:rPr>
        <w:t>denys</w:t>
      </w:r>
      <w:r w:rsidR="00F068A5" w:rsidRPr="00F068A5">
        <w:rPr>
          <w:rFonts w:asciiTheme="majorHAnsi" w:hAnsiTheme="majorHAnsi"/>
          <w:b w:val="0"/>
          <w:iCs/>
          <w:color w:val="000000"/>
          <w:sz w:val="22"/>
          <w:szCs w:val="22"/>
        </w:rPr>
        <w:t xml:space="preserve"> consumers more choice and competitive offers.</w:t>
      </w:r>
      <w:r w:rsidR="00F068A5">
        <w:rPr>
          <w:rFonts w:asciiTheme="majorHAnsi" w:hAnsiTheme="majorHAnsi"/>
          <w:b w:val="0"/>
          <w:iCs/>
          <w:color w:val="000000"/>
          <w:sz w:val="22"/>
          <w:szCs w:val="22"/>
        </w:rPr>
        <w:t xml:space="preserve"> F</w:t>
      </w:r>
      <w:r w:rsidR="00F068A5" w:rsidRPr="00F068A5">
        <w:rPr>
          <w:rFonts w:asciiTheme="majorHAnsi" w:hAnsiTheme="majorHAnsi"/>
          <w:b w:val="0"/>
          <w:iCs/>
          <w:color w:val="000000"/>
          <w:sz w:val="22"/>
          <w:szCs w:val="22"/>
        </w:rPr>
        <w:t xml:space="preserve">or the majority of </w:t>
      </w:r>
      <w:r w:rsidR="00F068A5">
        <w:rPr>
          <w:rFonts w:asciiTheme="majorHAnsi" w:hAnsiTheme="majorHAnsi"/>
          <w:b w:val="0"/>
          <w:iCs/>
          <w:color w:val="000000"/>
          <w:sz w:val="22"/>
          <w:szCs w:val="22"/>
        </w:rPr>
        <w:t xml:space="preserve">traders, such compliance costs </w:t>
      </w:r>
      <w:r w:rsidR="00F068A5" w:rsidRPr="00F068A5">
        <w:rPr>
          <w:rFonts w:asciiTheme="majorHAnsi" w:hAnsiTheme="majorHAnsi"/>
          <w:b w:val="0"/>
          <w:iCs/>
          <w:color w:val="000000"/>
          <w:sz w:val="22"/>
          <w:szCs w:val="22"/>
        </w:rPr>
        <w:t>constitute an important barrier to cross-border trade which reduces thei</w:t>
      </w:r>
      <w:r w:rsidR="00F068A5">
        <w:rPr>
          <w:rFonts w:asciiTheme="majorHAnsi" w:hAnsiTheme="majorHAnsi"/>
          <w:b w:val="0"/>
          <w:iCs/>
          <w:color w:val="000000"/>
          <w:sz w:val="22"/>
          <w:szCs w:val="22"/>
        </w:rPr>
        <w:t xml:space="preserve">r incentive to </w:t>
      </w:r>
      <w:r w:rsidR="00F068A5" w:rsidRPr="00F068A5">
        <w:rPr>
          <w:rFonts w:asciiTheme="majorHAnsi" w:hAnsiTheme="majorHAnsi"/>
          <w:b w:val="0"/>
          <w:iCs/>
          <w:color w:val="000000"/>
          <w:sz w:val="22"/>
          <w:szCs w:val="22"/>
        </w:rPr>
        <w:t>sell cross-border, particularly to consumers in small Me</w:t>
      </w:r>
      <w:r w:rsidR="00F068A5">
        <w:rPr>
          <w:rFonts w:asciiTheme="majorHAnsi" w:hAnsiTheme="majorHAnsi"/>
          <w:b w:val="0"/>
          <w:iCs/>
          <w:color w:val="000000"/>
          <w:sz w:val="22"/>
          <w:szCs w:val="22"/>
        </w:rPr>
        <w:t xml:space="preserve">mber States. If no legislative </w:t>
      </w:r>
      <w:r w:rsidR="00F068A5" w:rsidRPr="00F068A5">
        <w:rPr>
          <w:rFonts w:asciiTheme="majorHAnsi" w:hAnsiTheme="majorHAnsi"/>
          <w:b w:val="0"/>
          <w:iCs/>
          <w:color w:val="000000"/>
          <w:sz w:val="22"/>
          <w:szCs w:val="22"/>
        </w:rPr>
        <w:t>action is taken at Community level, such  costs wi</w:t>
      </w:r>
      <w:r w:rsidR="00F068A5">
        <w:rPr>
          <w:rFonts w:asciiTheme="majorHAnsi" w:hAnsiTheme="majorHAnsi"/>
          <w:b w:val="0"/>
          <w:iCs/>
          <w:color w:val="000000"/>
          <w:sz w:val="22"/>
          <w:szCs w:val="22"/>
        </w:rPr>
        <w:t xml:space="preserve">ll continue to be passed on to </w:t>
      </w:r>
      <w:r w:rsidR="00F068A5" w:rsidRPr="00F068A5">
        <w:rPr>
          <w:rFonts w:asciiTheme="majorHAnsi" w:hAnsiTheme="majorHAnsi"/>
          <w:b w:val="0"/>
          <w:iCs/>
          <w:color w:val="000000"/>
          <w:sz w:val="22"/>
          <w:szCs w:val="22"/>
        </w:rPr>
        <w:t>consumers in the form of higher prices or, worse, businesses will cont</w:t>
      </w:r>
      <w:r w:rsidR="00F068A5">
        <w:rPr>
          <w:rFonts w:asciiTheme="majorHAnsi" w:hAnsiTheme="majorHAnsi"/>
          <w:b w:val="0"/>
          <w:iCs/>
          <w:color w:val="000000"/>
          <w:sz w:val="22"/>
          <w:szCs w:val="22"/>
        </w:rPr>
        <w:t xml:space="preserve">inue to refuse to </w:t>
      </w:r>
      <w:r w:rsidR="00F068A5" w:rsidRPr="00F068A5">
        <w:rPr>
          <w:rFonts w:asciiTheme="majorHAnsi" w:hAnsiTheme="majorHAnsi"/>
          <w:b w:val="0"/>
          <w:iCs/>
          <w:color w:val="000000"/>
          <w:sz w:val="22"/>
          <w:szCs w:val="22"/>
        </w:rPr>
        <w:t>sell cross-border or create geographical</w:t>
      </w:r>
      <w:r w:rsidR="00F068A5">
        <w:rPr>
          <w:rFonts w:asciiTheme="majorHAnsi" w:hAnsiTheme="majorHAnsi"/>
          <w:b w:val="0"/>
          <w:iCs/>
          <w:color w:val="000000"/>
          <w:sz w:val="22"/>
          <w:szCs w:val="22"/>
        </w:rPr>
        <w:t xml:space="preserve"> </w:t>
      </w:r>
      <w:r w:rsidR="00F068A5" w:rsidRPr="00F068A5">
        <w:rPr>
          <w:rFonts w:asciiTheme="majorHAnsi" w:hAnsiTheme="majorHAnsi"/>
          <w:b w:val="0"/>
          <w:iCs/>
          <w:color w:val="000000"/>
          <w:sz w:val="22"/>
          <w:szCs w:val="22"/>
        </w:rPr>
        <w:t>discriminatio</w:t>
      </w:r>
      <w:r w:rsidR="00F068A5">
        <w:rPr>
          <w:rFonts w:asciiTheme="majorHAnsi" w:hAnsiTheme="majorHAnsi"/>
          <w:b w:val="0"/>
          <w:iCs/>
          <w:color w:val="000000"/>
          <w:sz w:val="22"/>
          <w:szCs w:val="22"/>
        </w:rPr>
        <w:t xml:space="preserve">ns between consumers depending </w:t>
      </w:r>
      <w:r w:rsidR="00F068A5" w:rsidRPr="00F068A5">
        <w:rPr>
          <w:rFonts w:asciiTheme="majorHAnsi" w:hAnsiTheme="majorHAnsi"/>
          <w:b w:val="0"/>
          <w:iCs/>
          <w:color w:val="000000"/>
          <w:sz w:val="22"/>
          <w:szCs w:val="22"/>
        </w:rPr>
        <w:t xml:space="preserve">on their country of residence.  </w:t>
      </w:r>
    </w:p>
    <w:p w:rsidR="00F068A5" w:rsidRPr="00F068A5" w:rsidRDefault="00F068A5" w:rsidP="00F068A5">
      <w:p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color w:val="000000"/>
          <w:lang w:val="sl-SI" w:eastAsia="sl-SI"/>
        </w:rPr>
        <w:t>The Consumer Rights Directive concerns </w:t>
      </w:r>
      <w:r w:rsidRPr="00F068A5">
        <w:rPr>
          <w:rFonts w:asciiTheme="majorHAnsi" w:hAnsiTheme="majorHAnsi"/>
          <w:bCs/>
          <w:color w:val="000000"/>
          <w:lang w:val="sl-SI" w:eastAsia="sl-SI"/>
        </w:rPr>
        <w:t>contracts for sales of goods and services from business-to-consumer</w:t>
      </w:r>
      <w:r w:rsidRPr="00F068A5">
        <w:rPr>
          <w:rFonts w:asciiTheme="majorHAnsi" w:hAnsiTheme="majorHAnsi"/>
          <w:color w:val="000000"/>
          <w:lang w:val="sl-SI" w:eastAsia="sl-SI"/>
        </w:rPr>
        <w:t>. Generally all contracts are covered, i.e. purchases made in a shop, at a distance or away from business premises.</w:t>
      </w:r>
    </w:p>
    <w:p w:rsidR="00F068A5" w:rsidRPr="00F068A5" w:rsidRDefault="00F068A5" w:rsidP="00F068A5">
      <w:pPr>
        <w:numPr>
          <w:ilvl w:val="0"/>
          <w:numId w:val="1"/>
        </w:num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bCs/>
          <w:color w:val="000000"/>
          <w:lang w:val="sl-SI" w:eastAsia="sl-SI"/>
        </w:rPr>
        <w:t>Pre-contractual information.</w:t>
      </w:r>
      <w:r w:rsidRPr="00F068A5">
        <w:rPr>
          <w:rFonts w:asciiTheme="majorHAnsi" w:hAnsiTheme="majorHAnsi"/>
          <w:color w:val="000000"/>
          <w:lang w:val="sl-SI" w:eastAsia="sl-SI"/>
        </w:rPr>
        <w:t> The Directive obliges the trader to provide the consumer with a clear set of information requirements, for all consumer contracts so the consumer can make an informed choice</w:t>
      </w:r>
      <w:r>
        <w:rPr>
          <w:rFonts w:asciiTheme="majorHAnsi" w:hAnsiTheme="majorHAnsi"/>
          <w:color w:val="000000"/>
          <w:lang w:val="sl-SI" w:eastAsia="sl-SI"/>
        </w:rPr>
        <w:t>.</w:t>
      </w:r>
    </w:p>
    <w:p w:rsidR="00F068A5" w:rsidRPr="00F068A5" w:rsidRDefault="00F068A5" w:rsidP="00F068A5">
      <w:pPr>
        <w:numPr>
          <w:ilvl w:val="0"/>
          <w:numId w:val="1"/>
        </w:num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bCs/>
          <w:color w:val="000000"/>
          <w:lang w:val="sl-SI" w:eastAsia="sl-SI"/>
        </w:rPr>
        <w:t>Rules on delivery and passing of risk to the consumer</w:t>
      </w:r>
      <w:r>
        <w:rPr>
          <w:rFonts w:asciiTheme="majorHAnsi" w:hAnsiTheme="majorHAnsi"/>
          <w:color w:val="000000"/>
          <w:lang w:val="sl-SI" w:eastAsia="sl-SI"/>
        </w:rPr>
        <w:t>.</w:t>
      </w:r>
    </w:p>
    <w:p w:rsidR="00F068A5" w:rsidRPr="00F068A5" w:rsidRDefault="00F068A5" w:rsidP="00F068A5">
      <w:pPr>
        <w:numPr>
          <w:ilvl w:val="0"/>
          <w:numId w:val="1"/>
        </w:num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bCs/>
          <w:color w:val="000000"/>
          <w:lang w:val="sl-SI" w:eastAsia="sl-SI"/>
        </w:rPr>
        <w:t>Cooling off periods (distance sales, e.g. Internet sales, mobile phone, catalogue and pressure sales)</w:t>
      </w:r>
      <w:r w:rsidR="00A272CF">
        <w:rPr>
          <w:rFonts w:asciiTheme="majorHAnsi" w:hAnsiTheme="majorHAnsi"/>
          <w:bCs/>
          <w:color w:val="000000"/>
          <w:lang w:val="sl-SI" w:eastAsia="sl-SI"/>
        </w:rPr>
        <w:t>.</w:t>
      </w:r>
    </w:p>
    <w:p w:rsidR="00F068A5" w:rsidRDefault="00F068A5" w:rsidP="00F068A5">
      <w:pPr>
        <w:numPr>
          <w:ilvl w:val="0"/>
          <w:numId w:val="1"/>
        </w:num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bCs/>
          <w:color w:val="000000"/>
          <w:lang w:val="sl-SI" w:eastAsia="sl-SI"/>
        </w:rPr>
        <w:t>Repairs, replacement, guarantees</w:t>
      </w:r>
      <w:r w:rsidRPr="00F068A5">
        <w:rPr>
          <w:rFonts w:asciiTheme="majorHAnsi" w:hAnsiTheme="majorHAnsi"/>
          <w:color w:val="000000"/>
          <w:lang w:val="sl-SI" w:eastAsia="sl-SI"/>
        </w:rPr>
        <w:t xml:space="preserve">. </w:t>
      </w:r>
    </w:p>
    <w:p w:rsidR="00F068A5" w:rsidRDefault="00F068A5" w:rsidP="00F068A5">
      <w:pPr>
        <w:numPr>
          <w:ilvl w:val="0"/>
          <w:numId w:val="1"/>
        </w:num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bCs/>
          <w:color w:val="000000"/>
          <w:lang w:val="sl-SI" w:eastAsia="sl-SI"/>
        </w:rPr>
        <w:t>Unfair Contract Terms:</w:t>
      </w:r>
      <w:r w:rsidRPr="00F068A5">
        <w:rPr>
          <w:rFonts w:asciiTheme="majorHAnsi" w:hAnsiTheme="majorHAnsi"/>
          <w:color w:val="000000"/>
          <w:lang w:val="sl-SI" w:eastAsia="sl-SI"/>
        </w:rPr>
        <w:t> a new </w:t>
      </w:r>
      <w:r w:rsidRPr="00F068A5">
        <w:rPr>
          <w:rFonts w:asciiTheme="majorHAnsi" w:hAnsiTheme="majorHAnsi"/>
          <w:bCs/>
          <w:color w:val="000000"/>
          <w:lang w:val="sl-SI" w:eastAsia="sl-SI"/>
        </w:rPr>
        <w:t>black list</w:t>
      </w:r>
      <w:r w:rsidRPr="00F068A5">
        <w:rPr>
          <w:rFonts w:asciiTheme="majorHAnsi" w:hAnsiTheme="majorHAnsi"/>
          <w:color w:val="000000"/>
          <w:lang w:val="sl-SI" w:eastAsia="sl-SI"/>
        </w:rPr>
        <w:t> of unfair contract terms which are prohibited across the EU </w:t>
      </w:r>
      <w:r w:rsidRPr="00F068A5">
        <w:rPr>
          <w:rFonts w:asciiTheme="majorHAnsi" w:hAnsiTheme="majorHAnsi"/>
          <w:color w:val="000000"/>
          <w:u w:val="single"/>
          <w:lang w:val="sl-SI" w:eastAsia="sl-SI"/>
        </w:rPr>
        <w:t>in all cases</w:t>
      </w:r>
      <w:r w:rsidRPr="00F068A5">
        <w:rPr>
          <w:rFonts w:asciiTheme="majorHAnsi" w:hAnsiTheme="majorHAnsi"/>
          <w:color w:val="000000"/>
          <w:lang w:val="sl-SI" w:eastAsia="sl-SI"/>
        </w:rPr>
        <w:t> and an EU wide grey list of contract terms deemed to be unfair if the trader does not prove the contrary.</w:t>
      </w:r>
    </w:p>
    <w:p w:rsidR="00F068A5" w:rsidRPr="00F068A5" w:rsidRDefault="00F068A5" w:rsidP="00A272CF">
      <w:p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color w:val="000000"/>
          <w:lang w:val="sl-SI" w:eastAsia="sl-SI"/>
        </w:rPr>
        <w:t>Protection is also strengthened in many areas, including:</w:t>
      </w:r>
    </w:p>
    <w:p w:rsidR="00F068A5" w:rsidRPr="00F068A5" w:rsidRDefault="00F068A5" w:rsidP="00F068A5">
      <w:pPr>
        <w:numPr>
          <w:ilvl w:val="0"/>
          <w:numId w:val="2"/>
        </w:numPr>
        <w:shd w:val="clear" w:color="auto" w:fill="FFFFFF"/>
        <w:spacing w:before="100" w:beforeAutospacing="1" w:after="100" w:afterAutospacing="1" w:line="207" w:lineRule="atLeast"/>
        <w:rPr>
          <w:rFonts w:asciiTheme="majorHAnsi" w:hAnsiTheme="majorHAnsi"/>
          <w:color w:val="000000"/>
          <w:lang w:val="sl-SI" w:eastAsia="sl-SI"/>
        </w:rPr>
      </w:pPr>
      <w:r w:rsidRPr="00F068A5">
        <w:rPr>
          <w:rFonts w:asciiTheme="majorHAnsi" w:hAnsiTheme="majorHAnsi"/>
          <w:bCs/>
          <w:color w:val="000000"/>
          <w:lang w:val="sl-SI" w:eastAsia="sl-SI"/>
        </w:rPr>
        <w:t>Online auctions:</w:t>
      </w:r>
      <w:r w:rsidRPr="00F068A5">
        <w:rPr>
          <w:rFonts w:asciiTheme="majorHAnsi" w:hAnsiTheme="majorHAnsi"/>
          <w:color w:val="000000"/>
          <w:lang w:val="sl-SI" w:eastAsia="sl-SI"/>
        </w:rPr>
        <w:t> the Directive requires </w:t>
      </w:r>
      <w:r w:rsidRPr="00F068A5">
        <w:rPr>
          <w:rFonts w:asciiTheme="majorHAnsi" w:hAnsiTheme="majorHAnsi"/>
          <w:bCs/>
          <w:color w:val="000000"/>
          <w:lang w:val="sl-SI" w:eastAsia="sl-SI"/>
        </w:rPr>
        <w:t>auctions</w:t>
      </w:r>
      <w:r w:rsidRPr="00F068A5">
        <w:rPr>
          <w:rFonts w:asciiTheme="majorHAnsi" w:hAnsiTheme="majorHAnsi"/>
          <w:color w:val="000000"/>
          <w:lang w:val="sl-SI" w:eastAsia="sl-SI"/>
        </w:rPr>
        <w:t>, including e-auctions, to meet the standard information obligations.</w:t>
      </w:r>
    </w:p>
    <w:p w:rsidR="00F068A5" w:rsidRPr="00F068A5" w:rsidRDefault="00F068A5" w:rsidP="00F068A5">
      <w:pPr>
        <w:numPr>
          <w:ilvl w:val="0"/>
          <w:numId w:val="2"/>
        </w:numPr>
        <w:shd w:val="clear" w:color="auto" w:fill="FFFFFF"/>
        <w:spacing w:before="100" w:beforeAutospacing="1" w:after="100" w:afterAutospacing="1" w:line="207" w:lineRule="atLeast"/>
        <w:rPr>
          <w:rFonts w:asciiTheme="majorHAnsi" w:hAnsiTheme="majorHAnsi"/>
          <w:iCs/>
          <w:color w:val="000000"/>
        </w:rPr>
      </w:pPr>
      <w:r w:rsidRPr="00F068A5">
        <w:rPr>
          <w:rFonts w:asciiTheme="majorHAnsi" w:hAnsiTheme="majorHAnsi"/>
          <w:bCs/>
          <w:color w:val="000000"/>
          <w:lang w:val="sl-SI" w:eastAsia="sl-SI"/>
        </w:rPr>
        <w:t>Pressure Selling</w:t>
      </w:r>
      <w:r w:rsidRPr="00F068A5">
        <w:rPr>
          <w:rFonts w:asciiTheme="majorHAnsi" w:hAnsiTheme="majorHAnsi"/>
          <w:color w:val="000000"/>
          <w:lang w:val="sl-SI" w:eastAsia="sl-SI"/>
        </w:rPr>
        <w:t>; Protection against pressure selling.</w:t>
      </w:r>
    </w:p>
    <w:p w:rsidR="00D94C6E" w:rsidRPr="00F068A5" w:rsidRDefault="00F068A5" w:rsidP="00F068A5">
      <w:pPr>
        <w:pStyle w:val="Titolo2"/>
        <w:shd w:val="clear" w:color="auto" w:fill="FFFFFF"/>
        <w:rPr>
          <w:rFonts w:asciiTheme="majorHAnsi" w:hAnsiTheme="majorHAnsi"/>
          <w:b w:val="0"/>
          <w:iCs/>
          <w:color w:val="000000"/>
          <w:sz w:val="22"/>
          <w:szCs w:val="22"/>
        </w:rPr>
      </w:pPr>
      <w:r w:rsidRPr="00F068A5">
        <w:rPr>
          <w:rFonts w:asciiTheme="majorHAnsi" w:hAnsiTheme="majorHAnsi"/>
          <w:b w:val="0"/>
          <w:color w:val="000000"/>
          <w:sz w:val="22"/>
          <w:szCs w:val="22"/>
          <w:shd w:val="clear" w:color="auto" w:fill="FFFFFF"/>
        </w:rPr>
        <w:lastRenderedPageBreak/>
        <w:t>Member States have added rules in an uncoordinated manner over the years, making EU consumer contract laws a patchwor</w:t>
      </w:r>
      <w:r>
        <w:rPr>
          <w:rFonts w:asciiTheme="majorHAnsi" w:hAnsiTheme="majorHAnsi"/>
          <w:b w:val="0"/>
          <w:color w:val="000000"/>
          <w:sz w:val="22"/>
          <w:szCs w:val="22"/>
          <w:shd w:val="clear" w:color="auto" w:fill="FFFFFF"/>
        </w:rPr>
        <w:t xml:space="preserve">k of 27 sets of differing rules. </w:t>
      </w:r>
      <w:r w:rsidRPr="00F068A5">
        <w:rPr>
          <w:rFonts w:asciiTheme="majorHAnsi" w:hAnsiTheme="majorHAnsi"/>
          <w:b w:val="0"/>
          <w:iCs/>
          <w:color w:val="000000"/>
          <w:sz w:val="22"/>
          <w:szCs w:val="22"/>
        </w:rPr>
        <w:t>The proposed Consumer Rights Directive simplifies 4 existing EU consumer rights directives into one set of rules.</w:t>
      </w:r>
      <w:r>
        <w:rPr>
          <w:rFonts w:asciiTheme="majorHAnsi" w:hAnsiTheme="majorHAnsi"/>
          <w:b w:val="0"/>
          <w:iCs/>
          <w:color w:val="000000"/>
          <w:sz w:val="22"/>
          <w:szCs w:val="22"/>
        </w:rPr>
        <w:t xml:space="preserve"> </w:t>
      </w:r>
      <w:r w:rsidRPr="00F068A5">
        <w:rPr>
          <w:rFonts w:asciiTheme="majorHAnsi" w:hAnsiTheme="majorHAnsi"/>
          <w:b w:val="0"/>
          <w:iCs/>
          <w:color w:val="000000"/>
          <w:sz w:val="22"/>
          <w:szCs w:val="22"/>
        </w:rPr>
        <w:t>The proposal moves away from the minimum harmonis</w:t>
      </w:r>
      <w:r>
        <w:rPr>
          <w:rFonts w:asciiTheme="majorHAnsi" w:hAnsiTheme="majorHAnsi"/>
          <w:b w:val="0"/>
          <w:iCs/>
          <w:color w:val="000000"/>
          <w:sz w:val="22"/>
          <w:szCs w:val="22"/>
        </w:rPr>
        <w:t xml:space="preserve">ation approach followed in the </w:t>
      </w:r>
      <w:r w:rsidRPr="00F068A5">
        <w:rPr>
          <w:rFonts w:asciiTheme="majorHAnsi" w:hAnsiTheme="majorHAnsi"/>
          <w:b w:val="0"/>
          <w:iCs/>
          <w:color w:val="000000"/>
          <w:sz w:val="22"/>
          <w:szCs w:val="22"/>
        </w:rPr>
        <w:t>four existing Directives (i.e. Member States may maint</w:t>
      </w:r>
      <w:r>
        <w:rPr>
          <w:rFonts w:asciiTheme="majorHAnsi" w:hAnsiTheme="majorHAnsi"/>
          <w:b w:val="0"/>
          <w:iCs/>
          <w:color w:val="000000"/>
          <w:sz w:val="22"/>
          <w:szCs w:val="22"/>
        </w:rPr>
        <w:t xml:space="preserve">ain or adopt stricter national </w:t>
      </w:r>
      <w:r w:rsidRPr="00F068A5">
        <w:rPr>
          <w:rFonts w:asciiTheme="majorHAnsi" w:hAnsiTheme="majorHAnsi"/>
          <w:b w:val="0"/>
          <w:iCs/>
          <w:color w:val="000000"/>
          <w:sz w:val="22"/>
          <w:szCs w:val="22"/>
        </w:rPr>
        <w:t>rules than those laid down in the Directive) to embrace</w:t>
      </w:r>
      <w:r>
        <w:rPr>
          <w:rFonts w:asciiTheme="majorHAnsi" w:hAnsiTheme="majorHAnsi"/>
          <w:b w:val="0"/>
          <w:iCs/>
          <w:color w:val="000000"/>
          <w:sz w:val="22"/>
          <w:szCs w:val="22"/>
        </w:rPr>
        <w:t xml:space="preserve"> a full harmonisation approach </w:t>
      </w:r>
      <w:r w:rsidRPr="00F068A5">
        <w:rPr>
          <w:rFonts w:asciiTheme="majorHAnsi" w:hAnsiTheme="majorHAnsi"/>
          <w:b w:val="0"/>
          <w:iCs/>
          <w:color w:val="000000"/>
          <w:sz w:val="22"/>
          <w:szCs w:val="22"/>
        </w:rPr>
        <w:t>(i.e. Member States cannot maintain or adopt provis</w:t>
      </w:r>
      <w:r>
        <w:rPr>
          <w:rFonts w:asciiTheme="majorHAnsi" w:hAnsiTheme="majorHAnsi"/>
          <w:b w:val="0"/>
          <w:iCs/>
          <w:color w:val="000000"/>
          <w:sz w:val="22"/>
          <w:szCs w:val="22"/>
        </w:rPr>
        <w:t xml:space="preserve">ions diverging from those laid </w:t>
      </w:r>
      <w:r w:rsidRPr="00F068A5">
        <w:rPr>
          <w:rFonts w:asciiTheme="majorHAnsi" w:hAnsiTheme="majorHAnsi"/>
          <w:b w:val="0"/>
          <w:iCs/>
          <w:color w:val="000000"/>
          <w:sz w:val="22"/>
          <w:szCs w:val="22"/>
        </w:rPr>
        <w:t>down in the Directive).</w:t>
      </w:r>
    </w:p>
    <w:p w:rsidR="00F068A5" w:rsidRDefault="00D94C6E" w:rsidP="00F068A5">
      <w:r>
        <w:rPr>
          <w:b/>
        </w:rPr>
        <w:t>Consultation</w:t>
      </w:r>
      <w:r w:rsidRPr="00331E9C">
        <w:t xml:space="preserve">: </w:t>
      </w:r>
      <w:r w:rsidR="00F068A5">
        <w:t xml:space="preserve">On 8 February 2007, the Commission adopted the Green Paper on the Review of the Consumer Acquis. This Green Paper consultation was conducted over the </w:t>
      </w:r>
      <w:r w:rsidR="00A272CF">
        <w:t>Internet</w:t>
      </w:r>
      <w:r w:rsidR="00F068A5">
        <w:t xml:space="preserve"> from 08/02/2007 to 15/05/2007. The Commission received 307 responses. The Green Paper attracted responses from a wide range of stakeholders, i.e. business, consumer, European Parliament, Member States, academics and legal practitioners. The majority of respondents to the Green Paper called for the adoption of a horizontal legislative instrument applicable to domestic and cross-border transactions, based on </w:t>
      </w:r>
      <w:r w:rsidR="00A272CF">
        <w:t>full-targeted</w:t>
      </w:r>
      <w:r w:rsidR="00F068A5">
        <w:t xml:space="preserve"> harmonisation. The horizontal legislative instrument </w:t>
      </w:r>
      <w:r w:rsidR="00A272CF">
        <w:t>should in</w:t>
      </w:r>
      <w:r w:rsidR="00F068A5">
        <w:t xml:space="preserve"> the view of most respondents be combined with vertical revisions of the existing sector-specific directives. </w:t>
      </w:r>
      <w:r w:rsidR="00F068A5" w:rsidRPr="00F068A5">
        <w:t xml:space="preserve">There was a strong support for </w:t>
      </w:r>
      <w:r w:rsidR="00A272CF" w:rsidRPr="00F068A5">
        <w:t>tightening up</w:t>
      </w:r>
      <w:r w:rsidR="00F068A5" w:rsidRPr="00F068A5">
        <w:t xml:space="preserve"> and systematising the Consumer </w:t>
      </w:r>
      <w:r w:rsidR="00F068A5" w:rsidRPr="00A272CF">
        <w:rPr>
          <w:i/>
        </w:rPr>
        <w:t>Acquis</w:t>
      </w:r>
      <w:r w:rsidR="00F068A5">
        <w:t>.</w:t>
      </w:r>
    </w:p>
    <w:p w:rsidR="00F068A5" w:rsidRDefault="00F068A5" w:rsidP="00F068A5">
      <w:r>
        <w:t>The Commission also published two consultation documents on Directive 97/7/EC and on Directive 85/577/EEC focusing on the specific issues pertaining to these Directives. All interested parties were invited to submit replies to the Commission, respectively by 21 November 2006 and 4 December 2007. The Commission received respectively 84 and 62 replies from all relevant stakeholders. The Commission held a full-day stakeholder conference on 14 November 2007. On 20 December 2007, two questionnaires (for businesses and consumers) were sent out by the Commission's contractor to stakeholders.  Business and consumer stakeholders were invited to workshop held in February 2008.</w:t>
      </w:r>
    </w:p>
    <w:p w:rsidR="00F068A5" w:rsidRDefault="00F068A5" w:rsidP="00F068A5">
      <w:r>
        <w:t>According to the Proposal of the directive there was no need for external expertise.</w:t>
      </w:r>
    </w:p>
    <w:p w:rsidR="00F068A5" w:rsidRPr="00F068A5" w:rsidRDefault="00D94C6E" w:rsidP="00F068A5">
      <w:pPr>
        <w:pStyle w:val="Titolo2"/>
        <w:shd w:val="clear" w:color="auto" w:fill="FFFFFF"/>
        <w:rPr>
          <w:rFonts w:asciiTheme="majorHAnsi" w:hAnsiTheme="majorHAnsi"/>
          <w:b w:val="0"/>
          <w:color w:val="000000"/>
          <w:sz w:val="22"/>
          <w:szCs w:val="22"/>
        </w:rPr>
      </w:pPr>
      <w:r w:rsidRPr="00F068A5">
        <w:rPr>
          <w:rFonts w:asciiTheme="majorHAnsi" w:hAnsiTheme="majorHAnsi"/>
          <w:sz w:val="22"/>
          <w:szCs w:val="22"/>
        </w:rPr>
        <w:t>Issues:</w:t>
      </w:r>
      <w:r w:rsidRPr="00F068A5">
        <w:rPr>
          <w:rFonts w:asciiTheme="majorHAnsi" w:hAnsiTheme="majorHAnsi"/>
          <w:b w:val="0"/>
          <w:sz w:val="22"/>
          <w:szCs w:val="22"/>
        </w:rPr>
        <w:t xml:space="preserve"> </w:t>
      </w:r>
      <w:r w:rsidR="00F068A5" w:rsidRPr="00F068A5">
        <w:rPr>
          <w:rFonts w:asciiTheme="majorHAnsi" w:hAnsiTheme="majorHAnsi"/>
          <w:b w:val="0"/>
          <w:sz w:val="22"/>
          <w:szCs w:val="22"/>
        </w:rPr>
        <w:t xml:space="preserve">1.) </w:t>
      </w:r>
      <w:r w:rsidR="00F068A5" w:rsidRPr="00F068A5">
        <w:rPr>
          <w:rFonts w:asciiTheme="majorHAnsi" w:hAnsiTheme="majorHAnsi"/>
          <w:b w:val="0"/>
          <w:color w:val="000000"/>
          <w:sz w:val="22"/>
          <w:szCs w:val="22"/>
          <w:u w:val="single"/>
          <w:shd w:val="clear" w:color="auto" w:fill="FFFFFF"/>
        </w:rPr>
        <w:t>improving the functioning of the Internal Market</w:t>
      </w:r>
      <w:r w:rsidR="00F068A5" w:rsidRPr="00F068A5">
        <w:rPr>
          <w:rFonts w:asciiTheme="majorHAnsi" w:hAnsiTheme="majorHAnsi"/>
          <w:b w:val="0"/>
          <w:sz w:val="22"/>
          <w:szCs w:val="22"/>
          <w:u w:val="single"/>
        </w:rPr>
        <w:t>,</w:t>
      </w:r>
      <w:r w:rsidR="00F068A5" w:rsidRPr="00F068A5">
        <w:rPr>
          <w:rFonts w:asciiTheme="majorHAnsi" w:hAnsiTheme="majorHAnsi"/>
          <w:b w:val="0"/>
          <w:sz w:val="22"/>
          <w:szCs w:val="22"/>
        </w:rPr>
        <w:t xml:space="preserve"> fragmentation of the regulatory framework</w:t>
      </w:r>
      <w:r w:rsidR="00F068A5" w:rsidRPr="00F068A5">
        <w:rPr>
          <w:rFonts w:asciiTheme="majorHAnsi" w:hAnsiTheme="majorHAnsi"/>
          <w:b w:val="0"/>
          <w:iCs/>
          <w:color w:val="000000"/>
          <w:sz w:val="22"/>
          <w:szCs w:val="22"/>
        </w:rPr>
        <w:t xml:space="preserve"> constitute</w:t>
      </w:r>
      <w:r w:rsidR="00F068A5">
        <w:rPr>
          <w:rFonts w:asciiTheme="majorHAnsi" w:hAnsiTheme="majorHAnsi"/>
          <w:b w:val="0"/>
          <w:iCs/>
          <w:color w:val="000000"/>
          <w:sz w:val="22"/>
          <w:szCs w:val="22"/>
        </w:rPr>
        <w:t>s</w:t>
      </w:r>
      <w:r w:rsidR="00F068A5" w:rsidRPr="00F068A5">
        <w:rPr>
          <w:rFonts w:asciiTheme="majorHAnsi" w:hAnsiTheme="majorHAnsi"/>
          <w:b w:val="0"/>
          <w:iCs/>
          <w:color w:val="000000"/>
          <w:sz w:val="22"/>
          <w:szCs w:val="22"/>
        </w:rPr>
        <w:t xml:space="preserve"> an important barrier to cross-border trade </w:t>
      </w:r>
      <w:r w:rsidR="00F068A5" w:rsidRPr="00F068A5">
        <w:rPr>
          <w:rFonts w:asciiTheme="majorHAnsi" w:hAnsiTheme="majorHAnsi"/>
          <w:b w:val="0"/>
          <w:sz w:val="22"/>
          <w:szCs w:val="22"/>
        </w:rPr>
        <w:t xml:space="preserve">- </w:t>
      </w:r>
      <w:r w:rsidR="00F068A5" w:rsidRPr="00F068A5">
        <w:rPr>
          <w:rStyle w:val="apple-converted-space"/>
          <w:rFonts w:asciiTheme="majorHAnsi" w:hAnsiTheme="majorHAnsi"/>
          <w:b w:val="0"/>
          <w:iCs/>
          <w:color w:val="000000"/>
          <w:sz w:val="22"/>
          <w:szCs w:val="22"/>
        </w:rPr>
        <w:t> </w:t>
      </w:r>
      <w:r w:rsidR="00F068A5">
        <w:rPr>
          <w:rFonts w:asciiTheme="majorHAnsi" w:hAnsiTheme="majorHAnsi"/>
          <w:b w:val="0"/>
          <w:iCs/>
          <w:color w:val="000000"/>
          <w:sz w:val="22"/>
          <w:szCs w:val="22"/>
        </w:rPr>
        <w:t>a</w:t>
      </w:r>
      <w:r w:rsidR="00F068A5" w:rsidRPr="00F068A5">
        <w:rPr>
          <w:rFonts w:asciiTheme="majorHAnsi" w:hAnsiTheme="majorHAnsi"/>
          <w:b w:val="0"/>
          <w:iCs/>
          <w:color w:val="000000"/>
          <w:sz w:val="22"/>
          <w:szCs w:val="22"/>
        </w:rPr>
        <w:t xml:space="preserve"> standard set of consume contract terms will cut compliance costs substantially</w:t>
      </w:r>
      <w:r w:rsidR="00F068A5" w:rsidRPr="00F068A5">
        <w:rPr>
          <w:rFonts w:asciiTheme="majorHAnsi" w:hAnsiTheme="majorHAnsi"/>
          <w:b w:val="0"/>
          <w:sz w:val="22"/>
          <w:szCs w:val="22"/>
        </w:rPr>
        <w:t>; 2.)</w:t>
      </w:r>
      <w:r w:rsidR="00F068A5" w:rsidRPr="00F068A5">
        <w:rPr>
          <w:rFonts w:asciiTheme="majorHAnsi" w:hAnsiTheme="majorHAnsi"/>
          <w:b w:val="0"/>
          <w:color w:val="000000"/>
          <w:sz w:val="22"/>
          <w:szCs w:val="22"/>
          <w:shd w:val="clear" w:color="auto" w:fill="FFFFFF"/>
        </w:rPr>
        <w:t xml:space="preserve"> </w:t>
      </w:r>
      <w:r w:rsidR="00F068A5" w:rsidRPr="00F068A5">
        <w:rPr>
          <w:rFonts w:asciiTheme="majorHAnsi" w:hAnsiTheme="majorHAnsi"/>
          <w:b w:val="0"/>
          <w:color w:val="000000"/>
          <w:sz w:val="22"/>
          <w:szCs w:val="22"/>
          <w:u w:val="single"/>
          <w:shd w:val="clear" w:color="auto" w:fill="FFFFFF"/>
        </w:rPr>
        <w:t>strengthen protection and trust of consumers in cross border trade,</w:t>
      </w:r>
      <w:r w:rsidR="00F068A5">
        <w:rPr>
          <w:rFonts w:asciiTheme="majorHAnsi" w:hAnsiTheme="majorHAnsi"/>
          <w:b w:val="0"/>
          <w:color w:val="000000"/>
          <w:sz w:val="22"/>
          <w:szCs w:val="22"/>
          <w:u w:val="single"/>
          <w:shd w:val="clear" w:color="auto" w:fill="FFFFFF"/>
        </w:rPr>
        <w:t xml:space="preserve"> </w:t>
      </w:r>
      <w:r w:rsidR="00F068A5" w:rsidRPr="00F068A5">
        <w:rPr>
          <w:rFonts w:asciiTheme="majorHAnsi" w:hAnsiTheme="majorHAnsi"/>
          <w:b w:val="0"/>
          <w:color w:val="000000"/>
          <w:sz w:val="22"/>
          <w:szCs w:val="22"/>
          <w:shd w:val="clear" w:color="auto" w:fill="FFFFFF"/>
        </w:rPr>
        <w:t xml:space="preserve">with ensuring a high level of consumer rights </w:t>
      </w:r>
      <w:r w:rsidR="00F068A5">
        <w:rPr>
          <w:rFonts w:asciiTheme="majorHAnsi" w:hAnsiTheme="majorHAnsi"/>
          <w:b w:val="0"/>
          <w:color w:val="000000"/>
          <w:sz w:val="22"/>
          <w:szCs w:val="22"/>
          <w:shd w:val="clear" w:color="auto" w:fill="FFFFFF"/>
        </w:rPr>
        <w:t>(i.e. with obliged p</w:t>
      </w:r>
      <w:r w:rsidR="00F068A5" w:rsidRPr="00F068A5">
        <w:rPr>
          <w:rFonts w:asciiTheme="majorHAnsi" w:hAnsiTheme="majorHAnsi"/>
          <w:b w:val="0"/>
          <w:color w:val="000000"/>
          <w:sz w:val="22"/>
          <w:szCs w:val="22"/>
        </w:rPr>
        <w:t>re-contractual information</w:t>
      </w:r>
      <w:r w:rsidR="00F068A5">
        <w:rPr>
          <w:rFonts w:asciiTheme="majorHAnsi" w:hAnsiTheme="majorHAnsi"/>
          <w:b w:val="0"/>
          <w:color w:val="000000"/>
          <w:sz w:val="22"/>
          <w:szCs w:val="22"/>
        </w:rPr>
        <w:t xml:space="preserve">, setting </w:t>
      </w:r>
      <w:r w:rsidR="00F068A5" w:rsidRPr="00F068A5">
        <w:rPr>
          <w:rFonts w:asciiTheme="majorHAnsi" w:hAnsiTheme="majorHAnsi"/>
          <w:b w:val="0"/>
          <w:color w:val="000000"/>
          <w:sz w:val="22"/>
          <w:szCs w:val="22"/>
        </w:rPr>
        <w:t>rules on delivery and passing of risk to the consumer</w:t>
      </w:r>
      <w:r w:rsidR="00F068A5">
        <w:rPr>
          <w:rFonts w:asciiTheme="majorHAnsi" w:hAnsiTheme="majorHAnsi"/>
          <w:b w:val="0"/>
          <w:color w:val="000000"/>
          <w:sz w:val="22"/>
          <w:szCs w:val="22"/>
        </w:rPr>
        <w:t>,</w:t>
      </w:r>
      <w:r w:rsidR="00F068A5" w:rsidRPr="00F068A5">
        <w:rPr>
          <w:rFonts w:asciiTheme="majorHAnsi" w:hAnsiTheme="majorHAnsi"/>
          <w:b w:val="0"/>
          <w:color w:val="000000"/>
          <w:sz w:val="22"/>
          <w:szCs w:val="22"/>
        </w:rPr>
        <w:t> </w:t>
      </w:r>
      <w:r w:rsidR="00F068A5">
        <w:rPr>
          <w:rFonts w:asciiTheme="majorHAnsi" w:hAnsiTheme="majorHAnsi"/>
          <w:b w:val="0"/>
          <w:color w:val="000000"/>
          <w:sz w:val="22"/>
          <w:szCs w:val="22"/>
        </w:rPr>
        <w:t>c</w:t>
      </w:r>
      <w:r w:rsidR="00F068A5" w:rsidRPr="00F068A5">
        <w:rPr>
          <w:rFonts w:asciiTheme="majorHAnsi" w:hAnsiTheme="majorHAnsi"/>
          <w:b w:val="0"/>
          <w:color w:val="000000"/>
          <w:sz w:val="22"/>
          <w:szCs w:val="22"/>
        </w:rPr>
        <w:t xml:space="preserve">ooling off periods, </w:t>
      </w:r>
      <w:r w:rsidR="00F068A5">
        <w:rPr>
          <w:rFonts w:asciiTheme="majorHAnsi" w:hAnsiTheme="majorHAnsi"/>
          <w:b w:val="0"/>
          <w:color w:val="000000"/>
          <w:sz w:val="22"/>
          <w:szCs w:val="22"/>
        </w:rPr>
        <w:t>r</w:t>
      </w:r>
      <w:r w:rsidR="00F068A5" w:rsidRPr="00F068A5">
        <w:rPr>
          <w:rFonts w:asciiTheme="majorHAnsi" w:hAnsiTheme="majorHAnsi"/>
          <w:b w:val="0"/>
          <w:color w:val="000000"/>
          <w:sz w:val="22"/>
          <w:szCs w:val="22"/>
        </w:rPr>
        <w:t xml:space="preserve">epairs, replacement, guarantees, </w:t>
      </w:r>
      <w:r w:rsidR="00F068A5">
        <w:rPr>
          <w:rFonts w:asciiTheme="majorHAnsi" w:hAnsiTheme="majorHAnsi"/>
          <w:b w:val="0"/>
          <w:color w:val="000000"/>
          <w:sz w:val="22"/>
          <w:szCs w:val="22"/>
        </w:rPr>
        <w:t>unfair contract t</w:t>
      </w:r>
      <w:r w:rsidR="00F068A5" w:rsidRPr="00F068A5">
        <w:rPr>
          <w:rFonts w:asciiTheme="majorHAnsi" w:hAnsiTheme="majorHAnsi"/>
          <w:b w:val="0"/>
          <w:color w:val="000000"/>
          <w:sz w:val="22"/>
          <w:szCs w:val="22"/>
        </w:rPr>
        <w:t xml:space="preserve">erms, and </w:t>
      </w:r>
      <w:r w:rsidR="00F068A5">
        <w:rPr>
          <w:rFonts w:asciiTheme="majorHAnsi" w:hAnsiTheme="majorHAnsi"/>
          <w:b w:val="0"/>
          <w:color w:val="000000"/>
          <w:sz w:val="22"/>
          <w:szCs w:val="22"/>
        </w:rPr>
        <w:t>p</w:t>
      </w:r>
      <w:r w:rsidR="00F068A5" w:rsidRPr="00F068A5">
        <w:rPr>
          <w:rFonts w:asciiTheme="majorHAnsi" w:hAnsiTheme="majorHAnsi"/>
          <w:b w:val="0"/>
          <w:color w:val="000000"/>
          <w:sz w:val="22"/>
          <w:szCs w:val="22"/>
        </w:rPr>
        <w:t>rotection against pressure selling</w:t>
      </w:r>
      <w:r w:rsidR="00F068A5">
        <w:rPr>
          <w:rFonts w:asciiTheme="majorHAnsi" w:hAnsiTheme="majorHAnsi"/>
          <w:b w:val="0"/>
          <w:color w:val="000000"/>
          <w:sz w:val="22"/>
          <w:szCs w:val="22"/>
        </w:rPr>
        <w:t xml:space="preserve">), 3.) </w:t>
      </w:r>
      <w:r w:rsidR="00F068A5" w:rsidRPr="00F068A5">
        <w:rPr>
          <w:rFonts w:asciiTheme="majorHAnsi" w:hAnsiTheme="majorHAnsi"/>
          <w:b w:val="0"/>
          <w:color w:val="000000"/>
          <w:sz w:val="22"/>
          <w:szCs w:val="22"/>
          <w:u w:val="single"/>
          <w:shd w:val="clear" w:color="auto" w:fill="FFFFFF"/>
        </w:rPr>
        <w:t>maximum harmonization</w:t>
      </w:r>
      <w:r w:rsidR="00F068A5" w:rsidRPr="00F068A5">
        <w:rPr>
          <w:rFonts w:asciiTheme="majorHAnsi" w:hAnsiTheme="majorHAnsi"/>
          <w:b w:val="0"/>
          <w:color w:val="000000"/>
          <w:sz w:val="22"/>
          <w:szCs w:val="22"/>
          <w:shd w:val="clear" w:color="auto" w:fill="FFFFFF"/>
        </w:rPr>
        <w:t xml:space="preserve"> as a general principle governing the directive</w:t>
      </w:r>
      <w:r w:rsidR="00A272CF">
        <w:rPr>
          <w:rFonts w:asciiTheme="majorHAnsi" w:hAnsiTheme="majorHAnsi"/>
          <w:b w:val="0"/>
          <w:color w:val="000000"/>
          <w:sz w:val="22"/>
          <w:szCs w:val="22"/>
          <w:shd w:val="clear" w:color="auto" w:fill="FFFFFF"/>
        </w:rPr>
        <w:t>.</w:t>
      </w:r>
    </w:p>
    <w:p w:rsidR="00D94C6E" w:rsidRPr="003A4140" w:rsidRDefault="00D94C6E" w:rsidP="00D94C6E">
      <w:pPr>
        <w:rPr>
          <w:b/>
        </w:rPr>
      </w:pPr>
      <w:r>
        <w:rPr>
          <w:b/>
        </w:rPr>
        <w:t>Frames:</w:t>
      </w:r>
      <w:r w:rsidR="003A4140">
        <w:rPr>
          <w:b/>
        </w:rPr>
        <w:t xml:space="preserve"> </w:t>
      </w:r>
      <w:r w:rsidR="00F068A5">
        <w:t>(1) E</w:t>
      </w:r>
      <w:r w:rsidR="00F068A5" w:rsidRPr="008D0F91">
        <w:t>conomic</w:t>
      </w:r>
      <w:r w:rsidR="00F068A5">
        <w:t xml:space="preserve"> (harmonised directive would lower the costs of cross-border trade), (2) Consumer rights </w:t>
      </w:r>
    </w:p>
    <w:p w:rsidR="00220874" w:rsidRPr="00557967" w:rsidRDefault="00D94C6E">
      <w:r>
        <w:rPr>
          <w:b/>
        </w:rPr>
        <w:t xml:space="preserve">Other Information: </w:t>
      </w:r>
      <w:r w:rsidR="00A272CF" w:rsidRPr="00A272CF">
        <w:t>-</w:t>
      </w:r>
    </w:p>
    <w:sectPr w:rsidR="00220874" w:rsidRPr="00557967" w:rsidSect="00DD5408">
      <w:footerReference w:type="default" r:id="rId8"/>
      <w:pgSz w:w="11906" w:h="16838"/>
      <w:pgMar w:top="1440" w:right="1134" w:bottom="1247"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15" w:rsidRDefault="004F2715" w:rsidP="00DD5408">
      <w:pPr>
        <w:spacing w:after="0" w:line="240" w:lineRule="auto"/>
      </w:pPr>
      <w:r>
        <w:separator/>
      </w:r>
    </w:p>
  </w:endnote>
  <w:endnote w:type="continuationSeparator" w:id="0">
    <w:p w:rsidR="004F2715" w:rsidRDefault="004F2715" w:rsidP="00DD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E6" w:rsidRDefault="00F955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15" w:rsidRDefault="004F2715" w:rsidP="00DD5408">
      <w:pPr>
        <w:spacing w:after="0" w:line="240" w:lineRule="auto"/>
      </w:pPr>
      <w:r>
        <w:separator/>
      </w:r>
    </w:p>
  </w:footnote>
  <w:footnote w:type="continuationSeparator" w:id="0">
    <w:p w:rsidR="004F2715" w:rsidRDefault="004F2715" w:rsidP="00DD5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1E9E"/>
    <w:multiLevelType w:val="multilevel"/>
    <w:tmpl w:val="963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57EA8"/>
    <w:multiLevelType w:val="multilevel"/>
    <w:tmpl w:val="807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1004"/>
  <w:doNotTrackMoves/>
  <w:defaultTabStop w:val="720"/>
  <w:hyphenationZone w:val="425"/>
  <w:characterSpacingControl w:val="doNotCompress"/>
  <w:footnotePr>
    <w:footnote w:id="-1"/>
    <w:footnote w:id="0"/>
  </w:footnotePr>
  <w:endnotePr>
    <w:endnote w:id="-1"/>
    <w:endnote w:id="0"/>
  </w:endnotePr>
  <w:compat/>
  <w:rsids>
    <w:rsidRoot w:val="00556BF7"/>
    <w:rsid w:val="000253F8"/>
    <w:rsid w:val="000368DB"/>
    <w:rsid w:val="00050810"/>
    <w:rsid w:val="00072A4D"/>
    <w:rsid w:val="000737F7"/>
    <w:rsid w:val="0007481A"/>
    <w:rsid w:val="00092E7D"/>
    <w:rsid w:val="00097E72"/>
    <w:rsid w:val="000C32FB"/>
    <w:rsid w:val="000D595E"/>
    <w:rsid w:val="000F2A37"/>
    <w:rsid w:val="00102C9B"/>
    <w:rsid w:val="0010671D"/>
    <w:rsid w:val="00122C69"/>
    <w:rsid w:val="00140C6B"/>
    <w:rsid w:val="00164ECC"/>
    <w:rsid w:val="00177A71"/>
    <w:rsid w:val="001943F9"/>
    <w:rsid w:val="00214C86"/>
    <w:rsid w:val="00216A02"/>
    <w:rsid w:val="00220874"/>
    <w:rsid w:val="00223E98"/>
    <w:rsid w:val="002607CB"/>
    <w:rsid w:val="00274E78"/>
    <w:rsid w:val="0029072D"/>
    <w:rsid w:val="00297DF2"/>
    <w:rsid w:val="002C402A"/>
    <w:rsid w:val="002D2961"/>
    <w:rsid w:val="002D6DE4"/>
    <w:rsid w:val="00331E9C"/>
    <w:rsid w:val="003935B4"/>
    <w:rsid w:val="003A4140"/>
    <w:rsid w:val="003A44DA"/>
    <w:rsid w:val="003D30F1"/>
    <w:rsid w:val="003E2903"/>
    <w:rsid w:val="003E600C"/>
    <w:rsid w:val="003F0573"/>
    <w:rsid w:val="00402787"/>
    <w:rsid w:val="00417A10"/>
    <w:rsid w:val="004633E2"/>
    <w:rsid w:val="00491D99"/>
    <w:rsid w:val="004A575C"/>
    <w:rsid w:val="004C3936"/>
    <w:rsid w:val="004C654F"/>
    <w:rsid w:val="004D19EF"/>
    <w:rsid w:val="004F2715"/>
    <w:rsid w:val="005364FB"/>
    <w:rsid w:val="0054653F"/>
    <w:rsid w:val="00556BF7"/>
    <w:rsid w:val="00557967"/>
    <w:rsid w:val="0057056E"/>
    <w:rsid w:val="00577F3B"/>
    <w:rsid w:val="005A3431"/>
    <w:rsid w:val="005B721B"/>
    <w:rsid w:val="005C2AA1"/>
    <w:rsid w:val="005C58D5"/>
    <w:rsid w:val="005E65B7"/>
    <w:rsid w:val="0060781F"/>
    <w:rsid w:val="00642AFD"/>
    <w:rsid w:val="006466E0"/>
    <w:rsid w:val="006A43E6"/>
    <w:rsid w:val="006B5084"/>
    <w:rsid w:val="006D0D74"/>
    <w:rsid w:val="006E1422"/>
    <w:rsid w:val="006E2EF2"/>
    <w:rsid w:val="00700B07"/>
    <w:rsid w:val="00703A26"/>
    <w:rsid w:val="00705DFA"/>
    <w:rsid w:val="0071094C"/>
    <w:rsid w:val="00740E9C"/>
    <w:rsid w:val="00741810"/>
    <w:rsid w:val="007440FA"/>
    <w:rsid w:val="00757F91"/>
    <w:rsid w:val="00761914"/>
    <w:rsid w:val="00764D2F"/>
    <w:rsid w:val="007A4E3E"/>
    <w:rsid w:val="007B76D8"/>
    <w:rsid w:val="007C4782"/>
    <w:rsid w:val="007F02EE"/>
    <w:rsid w:val="00822BA7"/>
    <w:rsid w:val="00836968"/>
    <w:rsid w:val="008614A3"/>
    <w:rsid w:val="00862926"/>
    <w:rsid w:val="008720E6"/>
    <w:rsid w:val="008746A8"/>
    <w:rsid w:val="00892653"/>
    <w:rsid w:val="00893F9E"/>
    <w:rsid w:val="008B572A"/>
    <w:rsid w:val="008C143A"/>
    <w:rsid w:val="008C2221"/>
    <w:rsid w:val="008E6CF6"/>
    <w:rsid w:val="00935B36"/>
    <w:rsid w:val="0096029E"/>
    <w:rsid w:val="00970B76"/>
    <w:rsid w:val="00972C15"/>
    <w:rsid w:val="009C1EEA"/>
    <w:rsid w:val="009F78CF"/>
    <w:rsid w:val="00A21C16"/>
    <w:rsid w:val="00A272CF"/>
    <w:rsid w:val="00A402ED"/>
    <w:rsid w:val="00AA04C1"/>
    <w:rsid w:val="00AE10FE"/>
    <w:rsid w:val="00B05BB5"/>
    <w:rsid w:val="00B7737B"/>
    <w:rsid w:val="00BD4EB7"/>
    <w:rsid w:val="00C0459B"/>
    <w:rsid w:val="00C06EAC"/>
    <w:rsid w:val="00C1198B"/>
    <w:rsid w:val="00C77A26"/>
    <w:rsid w:val="00C852AD"/>
    <w:rsid w:val="00CC403F"/>
    <w:rsid w:val="00CC719D"/>
    <w:rsid w:val="00CE3908"/>
    <w:rsid w:val="00D210EF"/>
    <w:rsid w:val="00D2269F"/>
    <w:rsid w:val="00D6366B"/>
    <w:rsid w:val="00D94C6E"/>
    <w:rsid w:val="00DB085E"/>
    <w:rsid w:val="00DC077D"/>
    <w:rsid w:val="00DD5408"/>
    <w:rsid w:val="00DE37C9"/>
    <w:rsid w:val="00E8486F"/>
    <w:rsid w:val="00E93EB1"/>
    <w:rsid w:val="00EB3093"/>
    <w:rsid w:val="00EE1B0F"/>
    <w:rsid w:val="00F068A5"/>
    <w:rsid w:val="00F07B8E"/>
    <w:rsid w:val="00F36C92"/>
    <w:rsid w:val="00F91D28"/>
    <w:rsid w:val="00F94127"/>
    <w:rsid w:val="00F955E6"/>
    <w:rsid w:val="00FE06FB"/>
    <w:rsid w:val="00FF02B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66E0"/>
    <w:pPr>
      <w:spacing w:after="200" w:line="276" w:lineRule="auto"/>
    </w:pPr>
    <w:rPr>
      <w:sz w:val="22"/>
      <w:szCs w:val="22"/>
      <w:lang w:val="en-GB" w:eastAsia="en-GB"/>
    </w:rPr>
  </w:style>
  <w:style w:type="paragraph" w:styleId="Titolo2">
    <w:name w:val="heading 2"/>
    <w:basedOn w:val="Normale"/>
    <w:link w:val="Titolo2Carattere"/>
    <w:uiPriority w:val="9"/>
    <w:qFormat/>
    <w:rsid w:val="00F068A5"/>
    <w:pPr>
      <w:spacing w:before="100" w:beforeAutospacing="1" w:after="100" w:afterAutospacing="1" w:line="240" w:lineRule="auto"/>
      <w:outlineLvl w:val="1"/>
    </w:pPr>
    <w:rPr>
      <w:rFonts w:ascii="Times New Roman" w:hAnsi="Times New Roman"/>
      <w:b/>
      <w:bCs/>
      <w:sz w:val="36"/>
      <w:szCs w:val="36"/>
      <w:lang w:val="sl-SI" w:eastAsia="sl-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540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D5408"/>
  </w:style>
  <w:style w:type="paragraph" w:styleId="Pidipagina">
    <w:name w:val="footer"/>
    <w:basedOn w:val="Normale"/>
    <w:link w:val="PidipaginaCarattere"/>
    <w:uiPriority w:val="99"/>
    <w:unhideWhenUsed/>
    <w:rsid w:val="00DD540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D5408"/>
  </w:style>
  <w:style w:type="paragraph" w:styleId="Sommario1">
    <w:name w:val="toc 1"/>
    <w:basedOn w:val="Normale"/>
    <w:next w:val="Normale"/>
    <w:autoRedefine/>
    <w:uiPriority w:val="39"/>
    <w:semiHidden/>
    <w:unhideWhenUsed/>
    <w:rsid w:val="000368DB"/>
    <w:pPr>
      <w:spacing w:after="100"/>
    </w:pPr>
  </w:style>
  <w:style w:type="character" w:customStyle="1" w:styleId="apple-style-span">
    <w:name w:val="apple-style-span"/>
    <w:basedOn w:val="Carpredefinitoparagrafo"/>
    <w:rsid w:val="00577F3B"/>
  </w:style>
  <w:style w:type="character" w:styleId="Collegamentoipertestuale">
    <w:name w:val="Hyperlink"/>
    <w:basedOn w:val="Carpredefinitoparagrafo"/>
    <w:rsid w:val="00B7737B"/>
    <w:rPr>
      <w:rFonts w:cs="Times New Roman"/>
      <w:color w:val="0000FF"/>
      <w:u w:val="single"/>
    </w:rPr>
  </w:style>
  <w:style w:type="paragraph" w:customStyle="1" w:styleId="CharCharChar">
    <w:name w:val="Char Char Char"/>
    <w:basedOn w:val="Normale"/>
    <w:rsid w:val="00D2269F"/>
    <w:pPr>
      <w:spacing w:after="160" w:line="240" w:lineRule="exact"/>
    </w:pPr>
    <w:rPr>
      <w:rFonts w:ascii="Tahoma" w:hAnsi="Tahoma"/>
      <w:sz w:val="20"/>
      <w:szCs w:val="20"/>
      <w:lang w:val="en-US" w:eastAsia="en-US"/>
    </w:rPr>
  </w:style>
  <w:style w:type="paragraph" w:customStyle="1" w:styleId="3Titre">
    <w:name w:val="3 Titre"/>
    <w:basedOn w:val="Normale"/>
    <w:next w:val="Normale"/>
    <w:autoRedefine/>
    <w:rsid w:val="00D2269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960" w:after="0" w:line="240" w:lineRule="auto"/>
      <w:jc w:val="both"/>
    </w:pPr>
    <w:rPr>
      <w:rFonts w:ascii="Arial" w:hAnsi="Arial"/>
      <w:b/>
      <w:sz w:val="32"/>
      <w:szCs w:val="20"/>
    </w:rPr>
  </w:style>
  <w:style w:type="character" w:customStyle="1" w:styleId="apple-converted-space">
    <w:name w:val="apple-converted-space"/>
    <w:basedOn w:val="Carpredefinitoparagrafo"/>
    <w:rsid w:val="007F02EE"/>
  </w:style>
  <w:style w:type="paragraph" w:styleId="Testofumetto">
    <w:name w:val="Balloon Text"/>
    <w:basedOn w:val="Normale"/>
    <w:link w:val="TestofumettoCarattere"/>
    <w:uiPriority w:val="99"/>
    <w:semiHidden/>
    <w:unhideWhenUsed/>
    <w:rsid w:val="00F91D28"/>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91D28"/>
    <w:rPr>
      <w:rFonts w:ascii="Lucida Grande" w:hAnsi="Lucida Grande"/>
      <w:sz w:val="18"/>
      <w:szCs w:val="18"/>
      <w:lang w:val="en-GB" w:eastAsia="en-GB"/>
    </w:rPr>
  </w:style>
  <w:style w:type="character" w:customStyle="1" w:styleId="Titolo2Carattere">
    <w:name w:val="Titolo 2 Carattere"/>
    <w:basedOn w:val="Carpredefinitoparagrafo"/>
    <w:link w:val="Titolo2"/>
    <w:uiPriority w:val="9"/>
    <w:rsid w:val="00F068A5"/>
    <w:rPr>
      <w:rFonts w:ascii="Times New Roman" w:hAnsi="Times New Roman"/>
      <w:b/>
      <w:bCs/>
      <w:sz w:val="36"/>
      <w:szCs w:val="36"/>
      <w:lang w:val="sl-SI" w:eastAsia="sl-SI"/>
    </w:rPr>
  </w:style>
  <w:style w:type="paragraph" w:styleId="NormaleWeb">
    <w:name w:val="Normal (Web)"/>
    <w:basedOn w:val="Normale"/>
    <w:uiPriority w:val="99"/>
    <w:unhideWhenUsed/>
    <w:rsid w:val="00F068A5"/>
    <w:pPr>
      <w:spacing w:before="100" w:beforeAutospacing="1" w:after="100" w:afterAutospacing="1" w:line="240" w:lineRule="auto"/>
    </w:pPr>
    <w:rPr>
      <w:rFonts w:ascii="Times New Roman" w:hAnsi="Times New Roman"/>
      <w:sz w:val="24"/>
      <w:szCs w:val="24"/>
      <w:lang w:val="sl-SI" w:eastAsia="sl-SI"/>
    </w:rPr>
  </w:style>
</w:styles>
</file>

<file path=word/webSettings.xml><?xml version="1.0" encoding="utf-8"?>
<w:webSettings xmlns:r="http://schemas.openxmlformats.org/officeDocument/2006/relationships" xmlns:w="http://schemas.openxmlformats.org/wordprocessingml/2006/main">
  <w:divs>
    <w:div w:id="856310302">
      <w:bodyDiv w:val="1"/>
      <w:marLeft w:val="0"/>
      <w:marRight w:val="0"/>
      <w:marTop w:val="0"/>
      <w:marBottom w:val="0"/>
      <w:divBdr>
        <w:top w:val="none" w:sz="0" w:space="0" w:color="auto"/>
        <w:left w:val="none" w:sz="0" w:space="0" w:color="auto"/>
        <w:bottom w:val="none" w:sz="0" w:space="0" w:color="auto"/>
        <w:right w:val="none" w:sz="0" w:space="0" w:color="auto"/>
      </w:divBdr>
    </w:div>
    <w:div w:id="1192299175">
      <w:bodyDiv w:val="1"/>
      <w:marLeft w:val="0"/>
      <w:marRight w:val="0"/>
      <w:marTop w:val="0"/>
      <w:marBottom w:val="0"/>
      <w:divBdr>
        <w:top w:val="none" w:sz="0" w:space="0" w:color="auto"/>
        <w:left w:val="none" w:sz="0" w:space="0" w:color="auto"/>
        <w:bottom w:val="none" w:sz="0" w:space="0" w:color="auto"/>
        <w:right w:val="none" w:sz="0" w:space="0" w:color="auto"/>
      </w:divBdr>
    </w:div>
    <w:div w:id="1607884614">
      <w:bodyDiv w:val="1"/>
      <w:marLeft w:val="0"/>
      <w:marRight w:val="0"/>
      <w:marTop w:val="0"/>
      <w:marBottom w:val="0"/>
      <w:divBdr>
        <w:top w:val="none" w:sz="0" w:space="0" w:color="auto"/>
        <w:left w:val="none" w:sz="0" w:space="0" w:color="auto"/>
        <w:bottom w:val="none" w:sz="0" w:space="0" w:color="auto"/>
        <w:right w:val="none" w:sz="0" w:space="0" w:color="auto"/>
      </w:divBdr>
    </w:div>
    <w:div w:id="1937401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185E-3555-46A3-8999-B69B1A7D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5205</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Meta</cp:lastModifiedBy>
  <cp:revision>2</cp:revision>
  <cp:lastPrinted>2011-11-24T14:27:00Z</cp:lastPrinted>
  <dcterms:created xsi:type="dcterms:W3CDTF">2012-04-23T19:21:00Z</dcterms:created>
  <dcterms:modified xsi:type="dcterms:W3CDTF">2012-04-23T19:21:00Z</dcterms:modified>
</cp:coreProperties>
</file>