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375"/>
      </w:tblGrid>
      <w:tr w:rsidR="004159A9" w:rsidRPr="004159A9">
        <w:trPr>
          <w:tblCellSpacing w:w="0" w:type="dxa"/>
        </w:trPr>
        <w:tc>
          <w:tcPr>
            <w:tcW w:w="5000" w:type="pct"/>
            <w:tcBorders>
              <w:top w:val="single" w:sz="6" w:space="0" w:color="C5C5C7"/>
              <w:left w:val="nil"/>
              <w:bottom w:val="nil"/>
              <w:right w:val="single" w:sz="6" w:space="0" w:color="C5C5C7"/>
            </w:tcBorders>
            <w:vAlign w:val="center"/>
            <w:hideMark/>
          </w:tcPr>
          <w:p w:rsidR="004159A9" w:rsidRPr="004159A9" w:rsidRDefault="004159A9" w:rsidP="004159A9">
            <w:pPr>
              <w:spacing w:after="0" w:line="240" w:lineRule="auto"/>
              <w:rPr>
                <w:rFonts w:ascii="Arial" w:eastAsia="Times New Roman" w:hAnsi="Arial" w:cs="Arial"/>
                <w:color w:val="845757"/>
                <w:sz w:val="19"/>
                <w:szCs w:val="19"/>
              </w:rPr>
            </w:pPr>
            <w:bookmarkStart w:id="0" w:name="top"/>
            <w:r w:rsidRPr="004159A9">
              <w:rPr>
                <w:rFonts w:ascii="Arial" w:eastAsia="Times New Roman" w:hAnsi="Arial" w:cs="Arial"/>
                <w:color w:val="845757"/>
                <w:sz w:val="19"/>
                <w:szCs w:val="19"/>
              </w:rPr>
              <w:t>NLE/2009/0033 : 02/12/2009 - Background note</w:t>
            </w:r>
          </w:p>
        </w:tc>
      </w:tr>
    </w:tbl>
    <w:p w:rsidR="004159A9" w:rsidRPr="004159A9" w:rsidRDefault="004159A9" w:rsidP="004159A9">
      <w:pPr>
        <w:spacing w:after="0" w:line="240" w:lineRule="auto"/>
        <w:rPr>
          <w:rFonts w:ascii="Arial" w:eastAsia="Times New Roman" w:hAnsi="Arial" w:cs="Arial"/>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9540"/>
      </w:tblGrid>
      <w:tr w:rsidR="004159A9" w:rsidRPr="004159A9">
        <w:trPr>
          <w:trHeight w:val="300"/>
          <w:tblCellSpacing w:w="0" w:type="dxa"/>
        </w:trPr>
        <w:tc>
          <w:tcPr>
            <w:tcW w:w="0" w:type="auto"/>
            <w:tcBorders>
              <w:left w:val="single" w:sz="6" w:space="0" w:color="C5C5C7"/>
              <w:right w:val="single" w:sz="6" w:space="0" w:color="C5C5C7"/>
            </w:tcBorders>
            <w:tcMar>
              <w:top w:w="0" w:type="dxa"/>
              <w:left w:w="75" w:type="dxa"/>
              <w:bottom w:w="0" w:type="dxa"/>
              <w:right w:w="75" w:type="dxa"/>
            </w:tcMar>
            <w:vAlign w:val="center"/>
            <w:hideMark/>
          </w:tcPr>
          <w:p w:rsidR="004159A9" w:rsidRPr="004159A9" w:rsidRDefault="004159A9" w:rsidP="004159A9">
            <w:pPr>
              <w:spacing w:after="0" w:line="240" w:lineRule="auto"/>
              <w:rPr>
                <w:rFonts w:ascii="Arial" w:eastAsia="Times New Roman" w:hAnsi="Arial" w:cs="Arial"/>
                <w:color w:val="000000"/>
                <w:sz w:val="17"/>
                <w:szCs w:val="17"/>
              </w:rPr>
            </w:pPr>
            <w:r w:rsidRPr="004159A9">
              <w:rPr>
                <w:rFonts w:ascii="Arial" w:eastAsia="Times New Roman" w:hAnsi="Arial" w:cs="Arial"/>
                <w:color w:val="000000"/>
                <w:sz w:val="17"/>
                <w:szCs w:val="17"/>
              </w:rPr>
              <w:t xml:space="preserve">  </w:t>
            </w:r>
          </w:p>
        </w:tc>
      </w:tr>
    </w:tbl>
    <w:p w:rsidR="004159A9" w:rsidRPr="004159A9" w:rsidRDefault="004159A9" w:rsidP="004159A9">
      <w:pPr>
        <w:spacing w:after="0" w:line="240" w:lineRule="auto"/>
        <w:rPr>
          <w:rFonts w:ascii="Arial" w:eastAsia="Times New Roman" w:hAnsi="Arial" w:cs="Arial"/>
          <w:vanish/>
          <w:color w:val="000000"/>
          <w:sz w:val="24"/>
          <w:szCs w:val="24"/>
        </w:rPr>
      </w:pPr>
    </w:p>
    <w:tbl>
      <w:tblPr>
        <w:tblW w:w="5000" w:type="pct"/>
        <w:tblCellSpacing w:w="0" w:type="dxa"/>
        <w:tblBorders>
          <w:left w:val="single" w:sz="6" w:space="0" w:color="C5C5C7"/>
          <w:bottom w:val="single" w:sz="6" w:space="0" w:color="C5C5C7"/>
          <w:right w:val="single" w:sz="6" w:space="0" w:color="C5C5C7"/>
        </w:tblBorders>
        <w:tblCellMar>
          <w:left w:w="150" w:type="dxa"/>
          <w:bottom w:w="225" w:type="dxa"/>
          <w:right w:w="150" w:type="dxa"/>
        </w:tblCellMar>
        <w:tblLook w:val="04A0" w:firstRow="1" w:lastRow="0" w:firstColumn="1" w:lastColumn="0" w:noHBand="0" w:noVBand="1"/>
      </w:tblPr>
      <w:tblGrid>
        <w:gridCol w:w="9690"/>
      </w:tblGrid>
      <w:tr w:rsidR="004159A9" w:rsidRPr="004159A9">
        <w:trPr>
          <w:tblCellSpacing w:w="0" w:type="dxa"/>
        </w:trPr>
        <w:tc>
          <w:tcPr>
            <w:tcW w:w="0" w:type="auto"/>
            <w:tcBorders>
              <w:bottom w:val="single" w:sz="6" w:space="0" w:color="CCCCCC"/>
              <w:right w:val="single" w:sz="6" w:space="0" w:color="CCCCCC"/>
            </w:tcBorders>
            <w:tcMar>
              <w:top w:w="75" w:type="dxa"/>
              <w:left w:w="150" w:type="dxa"/>
              <w:bottom w:w="75" w:type="dxa"/>
              <w:right w:w="150" w:type="dxa"/>
            </w:tcMar>
            <w:vAlign w:val="center"/>
            <w:hideMark/>
          </w:tcPr>
          <w:p w:rsidR="004159A9" w:rsidRPr="004159A9" w:rsidRDefault="004159A9" w:rsidP="004159A9">
            <w:pPr>
              <w:spacing w:before="100" w:beforeAutospacing="1" w:after="100" w:afterAutospacing="1" w:line="240" w:lineRule="auto"/>
              <w:jc w:val="both"/>
              <w:rPr>
                <w:rFonts w:ascii="Times New Roman" w:eastAsia="Times New Roman" w:hAnsi="Times New Roman" w:cs="Times New Roman"/>
                <w:color w:val="000000"/>
                <w:sz w:val="24"/>
                <w:szCs w:val="24"/>
              </w:rPr>
            </w:pPr>
            <w:r w:rsidRPr="004159A9">
              <w:rPr>
                <w:rFonts w:ascii="Times New Roman" w:eastAsia="Times New Roman" w:hAnsi="Times New Roman" w:cs="Times New Roman"/>
                <w:color w:val="000000"/>
                <w:sz w:val="24"/>
                <w:szCs w:val="24"/>
                <w:lang w:val="en-GB"/>
              </w:rPr>
              <w:t xml:space="preserve">The Lisbon Treaty, which entered into force on 1 December 2009, amended the EU's two core treaties, the Treaty on European Union (TEU) and the Treaty establishing the European Community (EC Treaty). The latter was renamed the Treaty on the Functioning of the European Union (TFEU). </w:t>
            </w:r>
          </w:p>
          <w:p w:rsidR="004159A9" w:rsidRPr="004159A9" w:rsidRDefault="004159A9" w:rsidP="004159A9">
            <w:pPr>
              <w:spacing w:before="100" w:beforeAutospacing="1" w:after="100" w:afterAutospacing="1" w:line="240" w:lineRule="auto"/>
              <w:jc w:val="both"/>
              <w:rPr>
                <w:rFonts w:ascii="Times New Roman" w:eastAsia="Times New Roman" w:hAnsi="Times New Roman" w:cs="Times New Roman"/>
                <w:color w:val="000000"/>
                <w:sz w:val="24"/>
                <w:szCs w:val="24"/>
              </w:rPr>
            </w:pPr>
            <w:r w:rsidRPr="004159A9">
              <w:rPr>
                <w:rFonts w:ascii="Times New Roman" w:eastAsia="Times New Roman" w:hAnsi="Times New Roman" w:cs="Times New Roman"/>
                <w:color w:val="000000"/>
                <w:sz w:val="24"/>
                <w:szCs w:val="24"/>
                <w:lang w:val="en-GB"/>
              </w:rPr>
              <w:t xml:space="preserve">These changes had various consequences for many </w:t>
            </w:r>
            <w:proofErr w:type="spellStart"/>
            <w:r w:rsidRPr="004159A9">
              <w:rPr>
                <w:rFonts w:ascii="Times New Roman" w:eastAsia="Times New Roman" w:hAnsi="Times New Roman" w:cs="Times New Roman"/>
                <w:color w:val="000000"/>
                <w:sz w:val="24"/>
                <w:szCs w:val="24"/>
                <w:lang w:val="en-GB"/>
              </w:rPr>
              <w:t>ongoing</w:t>
            </w:r>
            <w:proofErr w:type="spellEnd"/>
            <w:r w:rsidRPr="004159A9">
              <w:rPr>
                <w:rFonts w:ascii="Times New Roman" w:eastAsia="Times New Roman" w:hAnsi="Times New Roman" w:cs="Times New Roman"/>
                <w:color w:val="000000"/>
                <w:sz w:val="24"/>
                <w:szCs w:val="24"/>
                <w:lang w:val="en-GB"/>
              </w:rPr>
              <w:t xml:space="preserve"> procedures. First of all, the articles of the TEU and of the old EC Treaty that constitute the legal basis of all the proposals founded on those Treaties were </w:t>
            </w:r>
            <w:r w:rsidRPr="004159A9">
              <w:rPr>
                <w:rFonts w:ascii="Times New Roman" w:eastAsia="Times New Roman" w:hAnsi="Times New Roman" w:cs="Times New Roman"/>
                <w:b/>
                <w:bCs/>
                <w:color w:val="000000"/>
                <w:sz w:val="24"/>
                <w:szCs w:val="24"/>
                <w:lang w:val="en-GB"/>
              </w:rPr>
              <w:t>renumbered</w:t>
            </w:r>
            <w:r w:rsidRPr="004159A9">
              <w:rPr>
                <w:rFonts w:ascii="Times New Roman" w:eastAsia="Times New Roman" w:hAnsi="Times New Roman" w:cs="Times New Roman"/>
                <w:color w:val="000000"/>
                <w:sz w:val="24"/>
                <w:szCs w:val="24"/>
                <w:lang w:val="en-GB"/>
              </w:rPr>
              <w:t xml:space="preserve"> in accordance with the table of equivalences mentioned in Article 5 of the Lisbon Treaty. </w:t>
            </w:r>
          </w:p>
          <w:p w:rsidR="004159A9" w:rsidRPr="004159A9" w:rsidRDefault="004159A9" w:rsidP="004159A9">
            <w:pPr>
              <w:spacing w:before="100" w:beforeAutospacing="1" w:after="100" w:afterAutospacing="1" w:line="240" w:lineRule="auto"/>
              <w:jc w:val="both"/>
              <w:rPr>
                <w:rFonts w:ascii="Times New Roman" w:eastAsia="Times New Roman" w:hAnsi="Times New Roman" w:cs="Times New Roman"/>
                <w:color w:val="000000"/>
                <w:sz w:val="24"/>
                <w:szCs w:val="24"/>
              </w:rPr>
            </w:pPr>
            <w:r w:rsidRPr="004159A9">
              <w:rPr>
                <w:rFonts w:ascii="Times New Roman" w:eastAsia="Times New Roman" w:hAnsi="Times New Roman" w:cs="Times New Roman"/>
                <w:color w:val="000000"/>
                <w:sz w:val="24"/>
                <w:szCs w:val="24"/>
                <w:lang w:val="en-GB"/>
              </w:rPr>
              <w:t xml:space="preserve">In addition, some proposals underwent a change to their legal basis going beyond a mere change to their numbering, and this resulted in </w:t>
            </w:r>
            <w:r w:rsidRPr="004159A9">
              <w:rPr>
                <w:rFonts w:ascii="Times New Roman" w:eastAsia="Times New Roman" w:hAnsi="Times New Roman" w:cs="Times New Roman"/>
                <w:b/>
                <w:bCs/>
                <w:color w:val="000000"/>
                <w:sz w:val="24"/>
                <w:szCs w:val="24"/>
                <w:lang w:val="en-GB"/>
              </w:rPr>
              <w:t>changes to the type of procedure</w:t>
            </w:r>
            <w:r w:rsidRPr="004159A9">
              <w:rPr>
                <w:rFonts w:ascii="Times New Roman" w:eastAsia="Times New Roman" w:hAnsi="Times New Roman" w:cs="Times New Roman"/>
                <w:color w:val="000000"/>
                <w:sz w:val="24"/>
                <w:szCs w:val="24"/>
                <w:lang w:val="en-GB"/>
              </w:rPr>
              <w:t>.</w:t>
            </w:r>
          </w:p>
          <w:p w:rsidR="004159A9" w:rsidRPr="004159A9" w:rsidRDefault="004159A9" w:rsidP="004159A9">
            <w:pPr>
              <w:spacing w:before="100" w:beforeAutospacing="1" w:after="100" w:afterAutospacing="1" w:line="240" w:lineRule="auto"/>
              <w:jc w:val="both"/>
              <w:rPr>
                <w:rFonts w:ascii="Times New Roman" w:eastAsia="Times New Roman" w:hAnsi="Times New Roman" w:cs="Times New Roman"/>
                <w:color w:val="000000"/>
                <w:sz w:val="24"/>
                <w:szCs w:val="24"/>
              </w:rPr>
            </w:pPr>
            <w:r w:rsidRPr="004159A9">
              <w:rPr>
                <w:rFonts w:ascii="Times New Roman" w:eastAsia="Times New Roman" w:hAnsi="Times New Roman" w:cs="Times New Roman"/>
                <w:color w:val="000000"/>
                <w:sz w:val="24"/>
                <w:szCs w:val="24"/>
                <w:lang w:val="en-GB"/>
              </w:rPr>
              <w:t xml:space="preserve">The Lisbon Treaty also introduced </w:t>
            </w:r>
            <w:r w:rsidRPr="004159A9">
              <w:rPr>
                <w:rFonts w:ascii="Times New Roman" w:eastAsia="Times New Roman" w:hAnsi="Times New Roman" w:cs="Times New Roman"/>
                <w:b/>
                <w:bCs/>
                <w:color w:val="000000"/>
                <w:sz w:val="24"/>
                <w:szCs w:val="24"/>
                <w:lang w:val="en-GB"/>
              </w:rPr>
              <w:t>new concepts of decision-making procedure</w:t>
            </w:r>
            <w:r w:rsidRPr="004159A9">
              <w:rPr>
                <w:rFonts w:ascii="Times New Roman" w:eastAsia="Times New Roman" w:hAnsi="Times New Roman" w:cs="Times New Roman"/>
                <w:color w:val="000000"/>
                <w:sz w:val="24"/>
                <w:szCs w:val="24"/>
                <w:lang w:val="en-GB"/>
              </w:rPr>
              <w:t>. The old "</w:t>
            </w:r>
            <w:proofErr w:type="spellStart"/>
            <w:r w:rsidRPr="004159A9">
              <w:rPr>
                <w:rFonts w:ascii="Times New Roman" w:eastAsia="Times New Roman" w:hAnsi="Times New Roman" w:cs="Times New Roman"/>
                <w:color w:val="000000"/>
                <w:sz w:val="24"/>
                <w:szCs w:val="24"/>
                <w:lang w:val="en-GB"/>
              </w:rPr>
              <w:t>codecision</w:t>
            </w:r>
            <w:proofErr w:type="spellEnd"/>
            <w:r w:rsidRPr="004159A9">
              <w:rPr>
                <w:rFonts w:ascii="Times New Roman" w:eastAsia="Times New Roman" w:hAnsi="Times New Roman" w:cs="Times New Roman"/>
                <w:color w:val="000000"/>
                <w:sz w:val="24"/>
                <w:szCs w:val="24"/>
                <w:lang w:val="en-GB"/>
              </w:rPr>
              <w:t xml:space="preserve"> procedure" was extended to new areas and renamed the "ordinary legislative procedure". A new "consent procedure" replaced the old "assent procedure". New </w:t>
            </w:r>
            <w:proofErr w:type="spellStart"/>
            <w:r w:rsidRPr="004159A9">
              <w:rPr>
                <w:rFonts w:ascii="Times New Roman" w:eastAsia="Times New Roman" w:hAnsi="Times New Roman" w:cs="Times New Roman"/>
                <w:color w:val="000000"/>
                <w:sz w:val="24"/>
                <w:szCs w:val="24"/>
                <w:lang w:val="en-GB"/>
              </w:rPr>
              <w:t>interinstitutional</w:t>
            </w:r>
            <w:proofErr w:type="spellEnd"/>
            <w:r w:rsidRPr="004159A9">
              <w:rPr>
                <w:rFonts w:ascii="Times New Roman" w:eastAsia="Times New Roman" w:hAnsi="Times New Roman" w:cs="Times New Roman"/>
                <w:color w:val="000000"/>
                <w:sz w:val="24"/>
                <w:szCs w:val="24"/>
                <w:lang w:val="en-GB"/>
              </w:rPr>
              <w:t xml:space="preserve"> procedures were also set up for the adoption of certain non-legislative acts, for example the conclusion of some international agreements.</w:t>
            </w:r>
          </w:p>
          <w:p w:rsidR="004159A9" w:rsidRPr="004159A9" w:rsidRDefault="004159A9" w:rsidP="004159A9">
            <w:pPr>
              <w:spacing w:before="100" w:beforeAutospacing="1" w:after="100" w:afterAutospacing="1" w:line="240" w:lineRule="auto"/>
              <w:jc w:val="both"/>
              <w:rPr>
                <w:rFonts w:ascii="Times New Roman" w:eastAsia="Times New Roman" w:hAnsi="Times New Roman" w:cs="Times New Roman"/>
                <w:color w:val="000000"/>
                <w:sz w:val="24"/>
                <w:szCs w:val="24"/>
              </w:rPr>
            </w:pPr>
            <w:r w:rsidRPr="004159A9">
              <w:rPr>
                <w:rFonts w:ascii="Times New Roman" w:eastAsia="Times New Roman" w:hAnsi="Times New Roman" w:cs="Times New Roman"/>
                <w:color w:val="000000"/>
                <w:sz w:val="24"/>
                <w:szCs w:val="24"/>
                <w:lang w:val="en-GB"/>
              </w:rPr>
              <w:t xml:space="preserve">The </w:t>
            </w:r>
            <w:proofErr w:type="spellStart"/>
            <w:r w:rsidRPr="004159A9">
              <w:rPr>
                <w:rFonts w:ascii="Times New Roman" w:eastAsia="Times New Roman" w:hAnsi="Times New Roman" w:cs="Times New Roman"/>
                <w:color w:val="000000"/>
                <w:sz w:val="24"/>
                <w:szCs w:val="24"/>
                <w:lang w:val="en-GB"/>
              </w:rPr>
              <w:t>ongoing</w:t>
            </w:r>
            <w:proofErr w:type="spellEnd"/>
            <w:r w:rsidRPr="004159A9">
              <w:rPr>
                <w:rFonts w:ascii="Times New Roman" w:eastAsia="Times New Roman" w:hAnsi="Times New Roman" w:cs="Times New Roman"/>
                <w:color w:val="000000"/>
                <w:sz w:val="24"/>
                <w:szCs w:val="24"/>
                <w:lang w:val="en-GB"/>
              </w:rPr>
              <w:t xml:space="preserve"> proposals concerned by these changes were formally modified by the Commission in a Communication published on 2 December 2009 </w:t>
            </w:r>
            <w:bookmarkEnd w:id="0"/>
            <w:r w:rsidRPr="004159A9">
              <w:rPr>
                <w:rFonts w:ascii="Times New Roman" w:eastAsia="Times New Roman" w:hAnsi="Times New Roman" w:cs="Times New Roman"/>
                <w:color w:val="000000"/>
                <w:sz w:val="24"/>
                <w:szCs w:val="24"/>
                <w:lang w:val="en-GB"/>
              </w:rPr>
              <w:fldChar w:fldCharType="begin"/>
            </w:r>
            <w:r w:rsidRPr="004159A9">
              <w:rPr>
                <w:rFonts w:ascii="Times New Roman" w:eastAsia="Times New Roman" w:hAnsi="Times New Roman" w:cs="Times New Roman"/>
                <w:color w:val="000000"/>
                <w:sz w:val="24"/>
                <w:szCs w:val="24"/>
                <w:lang w:val="en-GB"/>
              </w:rPr>
              <w:instrText xml:space="preserve"> HYPERLINK "http://eur-lex.europa.eu/LexUriServ/LexUriServ.do?uri=COM:2009:0665:FIN:EN:PDF" </w:instrText>
            </w:r>
            <w:r w:rsidRPr="004159A9">
              <w:rPr>
                <w:rFonts w:ascii="Times New Roman" w:eastAsia="Times New Roman" w:hAnsi="Times New Roman" w:cs="Times New Roman"/>
                <w:color w:val="000000"/>
                <w:sz w:val="24"/>
                <w:szCs w:val="24"/>
                <w:lang w:val="en-GB"/>
              </w:rPr>
              <w:fldChar w:fldCharType="separate"/>
            </w:r>
            <w:r w:rsidRPr="004159A9">
              <w:rPr>
                <w:rFonts w:ascii="Times New Roman" w:eastAsia="Times New Roman" w:hAnsi="Times New Roman" w:cs="Times New Roman"/>
                <w:color w:val="0000FF"/>
                <w:sz w:val="24"/>
                <w:szCs w:val="24"/>
                <w:u w:val="single"/>
                <w:lang w:val="en-GB"/>
              </w:rPr>
              <w:t>(</w:t>
            </w:r>
            <w:proofErr w:type="gramStart"/>
            <w:r w:rsidRPr="004159A9">
              <w:rPr>
                <w:rFonts w:ascii="Times New Roman" w:eastAsia="Times New Roman" w:hAnsi="Times New Roman" w:cs="Times New Roman"/>
                <w:color w:val="0000FF"/>
                <w:sz w:val="24"/>
                <w:szCs w:val="24"/>
                <w:u w:val="single"/>
                <w:lang w:val="en-GB"/>
              </w:rPr>
              <w:t>COM</w:t>
            </w:r>
            <w:bookmarkStart w:id="1" w:name="_GoBack"/>
            <w:bookmarkEnd w:id="1"/>
            <w:r w:rsidRPr="004159A9">
              <w:rPr>
                <w:rFonts w:ascii="Times New Roman" w:eastAsia="Times New Roman" w:hAnsi="Times New Roman" w:cs="Times New Roman"/>
                <w:color w:val="0000FF"/>
                <w:sz w:val="24"/>
                <w:szCs w:val="24"/>
                <w:u w:val="single"/>
                <w:lang w:val="en-GB"/>
              </w:rPr>
              <w:t>(</w:t>
            </w:r>
            <w:proofErr w:type="gramEnd"/>
            <w:r w:rsidRPr="004159A9">
              <w:rPr>
                <w:rFonts w:ascii="Times New Roman" w:eastAsia="Times New Roman" w:hAnsi="Times New Roman" w:cs="Times New Roman"/>
                <w:color w:val="0000FF"/>
                <w:sz w:val="24"/>
                <w:szCs w:val="24"/>
                <w:u w:val="single"/>
                <w:lang w:val="en-GB"/>
              </w:rPr>
              <w:t>2009)0665).</w:t>
            </w:r>
            <w:r w:rsidRPr="004159A9">
              <w:rPr>
                <w:rFonts w:ascii="Times New Roman" w:eastAsia="Times New Roman" w:hAnsi="Times New Roman" w:cs="Times New Roman"/>
                <w:color w:val="000000"/>
                <w:sz w:val="24"/>
                <w:szCs w:val="24"/>
                <w:lang w:val="en-GB"/>
              </w:rPr>
              <w:fldChar w:fldCharType="end"/>
            </w:r>
          </w:p>
          <w:p w:rsidR="004159A9" w:rsidRPr="004159A9" w:rsidRDefault="004159A9" w:rsidP="004159A9">
            <w:pPr>
              <w:spacing w:before="100" w:beforeAutospacing="1" w:after="100" w:afterAutospacing="1" w:line="240" w:lineRule="auto"/>
              <w:jc w:val="both"/>
              <w:rPr>
                <w:rFonts w:ascii="Times New Roman" w:eastAsia="Times New Roman" w:hAnsi="Times New Roman" w:cs="Times New Roman"/>
                <w:color w:val="000000"/>
                <w:sz w:val="24"/>
                <w:szCs w:val="24"/>
              </w:rPr>
            </w:pPr>
            <w:r w:rsidRPr="004159A9">
              <w:rPr>
                <w:rFonts w:ascii="Times New Roman" w:eastAsia="Times New Roman" w:hAnsi="Times New Roman" w:cs="Times New Roman"/>
                <w:color w:val="000000"/>
                <w:sz w:val="24"/>
                <w:szCs w:val="24"/>
                <w:lang w:val="en-GB"/>
              </w:rPr>
              <w:t xml:space="preserve">In the case of the proposal for a Council Regulation on the establishment of an evaluation mechanism to verify the application of the Schengen </w:t>
            </w:r>
            <w:proofErr w:type="spellStart"/>
            <w:r w:rsidRPr="004159A9">
              <w:rPr>
                <w:rFonts w:ascii="Times New Roman" w:eastAsia="Times New Roman" w:hAnsi="Times New Roman" w:cs="Times New Roman"/>
                <w:color w:val="000000"/>
                <w:sz w:val="24"/>
                <w:szCs w:val="24"/>
                <w:lang w:val="en-GB"/>
              </w:rPr>
              <w:t>acquis</w:t>
            </w:r>
            <w:proofErr w:type="spellEnd"/>
            <w:r w:rsidRPr="004159A9">
              <w:rPr>
                <w:rFonts w:ascii="Times New Roman" w:eastAsia="Times New Roman" w:hAnsi="Times New Roman" w:cs="Times New Roman"/>
                <w:color w:val="000000"/>
                <w:sz w:val="24"/>
                <w:szCs w:val="24"/>
                <w:lang w:val="en-GB"/>
              </w:rPr>
              <w:t>,</w:t>
            </w:r>
            <w:r w:rsidRPr="004159A9">
              <w:rPr>
                <w:rFonts w:ascii="Times New Roman" w:eastAsia="Times New Roman" w:hAnsi="Times New Roman" w:cs="Times New Roman"/>
                <w:b/>
                <w:bCs/>
                <w:color w:val="000000"/>
                <w:sz w:val="24"/>
                <w:szCs w:val="24"/>
                <w:lang w:val="en-GB"/>
              </w:rPr>
              <w:t xml:space="preserve"> the entry into force of the Lisbon Treaty had the following impacts</w:t>
            </w:r>
            <w:r w:rsidRPr="004159A9">
              <w:rPr>
                <w:rFonts w:ascii="Times New Roman" w:eastAsia="Times New Roman" w:hAnsi="Times New Roman" w:cs="Times New Roman"/>
                <w:color w:val="000000"/>
                <w:sz w:val="24"/>
                <w:szCs w:val="24"/>
                <w:lang w:val="en-GB"/>
              </w:rPr>
              <w:t>:</w:t>
            </w:r>
          </w:p>
          <w:p w:rsidR="004159A9" w:rsidRPr="004159A9" w:rsidRDefault="004159A9" w:rsidP="004159A9">
            <w:pPr>
              <w:spacing w:before="100" w:beforeAutospacing="1" w:after="100" w:afterAutospacing="1" w:line="240" w:lineRule="auto"/>
              <w:ind w:left="720" w:hanging="360"/>
              <w:jc w:val="both"/>
              <w:rPr>
                <w:rFonts w:ascii="Times New Roman" w:eastAsia="Times New Roman" w:hAnsi="Times New Roman" w:cs="Times New Roman"/>
                <w:color w:val="000000"/>
                <w:sz w:val="24"/>
                <w:szCs w:val="24"/>
              </w:rPr>
            </w:pPr>
            <w:r w:rsidRPr="004159A9">
              <w:rPr>
                <w:rFonts w:ascii="Symbol" w:eastAsia="Times New Roman" w:hAnsi="Symbol" w:cs="Times New Roman"/>
                <w:color w:val="000000"/>
                <w:sz w:val="24"/>
                <w:szCs w:val="24"/>
                <w:lang w:val="en-GB"/>
              </w:rPr>
              <w:t></w:t>
            </w:r>
            <w:r w:rsidRPr="004159A9">
              <w:rPr>
                <w:rFonts w:ascii="Times New Roman" w:eastAsia="Times New Roman" w:hAnsi="Times New Roman" w:cs="Times New Roman"/>
                <w:color w:val="000000"/>
                <w:sz w:val="14"/>
                <w:szCs w:val="14"/>
                <w:lang w:val="en-GB"/>
              </w:rPr>
              <w:t>       </w:t>
            </w:r>
            <w:proofErr w:type="gramStart"/>
            <w:r w:rsidRPr="004159A9">
              <w:rPr>
                <w:rFonts w:ascii="Times New Roman" w:eastAsia="Times New Roman" w:hAnsi="Times New Roman" w:cs="Times New Roman"/>
                <w:b/>
                <w:bCs/>
                <w:color w:val="000000"/>
                <w:sz w:val="24"/>
                <w:szCs w:val="24"/>
                <w:lang w:val="en-GB"/>
              </w:rPr>
              <w:t>the</w:t>
            </w:r>
            <w:proofErr w:type="gramEnd"/>
            <w:r w:rsidRPr="004159A9">
              <w:rPr>
                <w:rFonts w:ascii="Times New Roman" w:eastAsia="Times New Roman" w:hAnsi="Times New Roman" w:cs="Times New Roman"/>
                <w:b/>
                <w:bCs/>
                <w:color w:val="000000"/>
                <w:sz w:val="24"/>
                <w:szCs w:val="24"/>
                <w:lang w:val="en-GB"/>
              </w:rPr>
              <w:t xml:space="preserve"> old legal basis</w:t>
            </w:r>
            <w:r w:rsidRPr="004159A9">
              <w:rPr>
                <w:rFonts w:ascii="Times New Roman" w:eastAsia="Times New Roman" w:hAnsi="Times New Roman" w:cs="Times New Roman"/>
                <w:color w:val="000000"/>
                <w:sz w:val="24"/>
                <w:szCs w:val="24"/>
                <w:lang w:val="en-GB"/>
              </w:rPr>
              <w:t xml:space="preserve"> – Treaty/EC/ Art. 66(1) - </w:t>
            </w:r>
            <w:r w:rsidRPr="004159A9">
              <w:rPr>
                <w:rFonts w:ascii="Times New Roman" w:eastAsia="Times New Roman" w:hAnsi="Times New Roman" w:cs="Times New Roman"/>
                <w:b/>
                <w:bCs/>
                <w:color w:val="000000"/>
                <w:sz w:val="24"/>
                <w:szCs w:val="24"/>
                <w:lang w:val="en-GB"/>
              </w:rPr>
              <w:t>became</w:t>
            </w:r>
            <w:r w:rsidRPr="004159A9">
              <w:rPr>
                <w:rFonts w:ascii="Times New Roman" w:eastAsia="Times New Roman" w:hAnsi="Times New Roman" w:cs="Times New Roman"/>
                <w:color w:val="000000"/>
                <w:sz w:val="24"/>
                <w:szCs w:val="24"/>
                <w:lang w:val="en-GB"/>
              </w:rPr>
              <w:t xml:space="preserve"> Article 74 of the TFEU. </w:t>
            </w:r>
            <w:r w:rsidRPr="004159A9">
              <w:rPr>
                <w:rFonts w:ascii="Times New Roman" w:eastAsia="Times New Roman" w:hAnsi="Times New Roman" w:cs="Times New Roman"/>
                <w:i/>
                <w:iCs/>
                <w:color w:val="000000"/>
                <w:sz w:val="24"/>
                <w:szCs w:val="24"/>
                <w:lang w:val="en-GB"/>
              </w:rPr>
              <w:t>Please note that the numbering of the old legal basis corresponds to the consolidated version of the Treaty that was applicable immediately before the entry into force of the Lisbon Treaty, and may differ from the references in the original Commission proposal</w:t>
            </w:r>
            <w:r w:rsidRPr="004159A9">
              <w:rPr>
                <w:rFonts w:ascii="Times New Roman" w:eastAsia="Times New Roman" w:hAnsi="Times New Roman" w:cs="Times New Roman"/>
                <w:color w:val="000000"/>
                <w:sz w:val="24"/>
                <w:szCs w:val="24"/>
                <w:lang w:val="en-GB"/>
              </w:rPr>
              <w:t>;</w:t>
            </w:r>
          </w:p>
          <w:p w:rsidR="004159A9" w:rsidRPr="004159A9" w:rsidRDefault="004159A9" w:rsidP="004159A9">
            <w:pPr>
              <w:spacing w:before="100" w:beforeAutospacing="1" w:after="100" w:afterAutospacing="1" w:line="240" w:lineRule="auto"/>
              <w:ind w:left="720" w:hanging="360"/>
              <w:jc w:val="both"/>
              <w:rPr>
                <w:rFonts w:ascii="Times New Roman" w:eastAsia="Times New Roman" w:hAnsi="Times New Roman" w:cs="Times New Roman"/>
                <w:color w:val="000000"/>
                <w:sz w:val="24"/>
                <w:szCs w:val="24"/>
              </w:rPr>
            </w:pPr>
            <w:r w:rsidRPr="004159A9">
              <w:rPr>
                <w:rFonts w:ascii="Symbol" w:eastAsia="Times New Roman" w:hAnsi="Symbol" w:cs="Times New Roman"/>
                <w:color w:val="000000"/>
                <w:sz w:val="24"/>
                <w:szCs w:val="24"/>
                <w:lang w:val="en-GB"/>
              </w:rPr>
              <w:t></w:t>
            </w:r>
            <w:r w:rsidRPr="004159A9">
              <w:rPr>
                <w:rFonts w:ascii="Times New Roman" w:eastAsia="Times New Roman" w:hAnsi="Times New Roman" w:cs="Times New Roman"/>
                <w:color w:val="000000"/>
                <w:sz w:val="14"/>
                <w:szCs w:val="14"/>
                <w:lang w:val="en-GB"/>
              </w:rPr>
              <w:t>       </w:t>
            </w:r>
            <w:proofErr w:type="gramStart"/>
            <w:r w:rsidRPr="004159A9">
              <w:rPr>
                <w:rFonts w:ascii="Times New Roman" w:eastAsia="Times New Roman" w:hAnsi="Times New Roman" w:cs="Times New Roman"/>
                <w:color w:val="000000"/>
                <w:sz w:val="24"/>
                <w:szCs w:val="24"/>
                <w:lang w:val="en-GB"/>
              </w:rPr>
              <w:t>the</w:t>
            </w:r>
            <w:proofErr w:type="gramEnd"/>
            <w:r w:rsidRPr="004159A9">
              <w:rPr>
                <w:rFonts w:ascii="Times New Roman" w:eastAsia="Times New Roman" w:hAnsi="Times New Roman" w:cs="Times New Roman"/>
                <w:color w:val="000000"/>
                <w:sz w:val="24"/>
                <w:szCs w:val="24"/>
                <w:lang w:val="en-GB"/>
              </w:rPr>
              <w:t xml:space="preserve"> proposal, which had previously fallen under the old consultation procedure (CNS), was classified as an </w:t>
            </w:r>
            <w:proofErr w:type="spellStart"/>
            <w:r w:rsidRPr="004159A9">
              <w:rPr>
                <w:rFonts w:ascii="Times New Roman" w:eastAsia="Times New Roman" w:hAnsi="Times New Roman" w:cs="Times New Roman"/>
                <w:color w:val="000000"/>
                <w:sz w:val="24"/>
                <w:szCs w:val="24"/>
                <w:lang w:val="en-GB"/>
              </w:rPr>
              <w:t>interinstitutional</w:t>
            </w:r>
            <w:proofErr w:type="spellEnd"/>
            <w:r w:rsidRPr="004159A9">
              <w:rPr>
                <w:rFonts w:ascii="Times New Roman" w:eastAsia="Times New Roman" w:hAnsi="Times New Roman" w:cs="Times New Roman"/>
                <w:color w:val="000000"/>
                <w:sz w:val="24"/>
                <w:szCs w:val="24"/>
                <w:lang w:val="en-GB"/>
              </w:rPr>
              <w:t xml:space="preserve"> non-legislative procedure (NLE).</w:t>
            </w:r>
          </w:p>
        </w:tc>
      </w:tr>
    </w:tbl>
    <w:p w:rsidR="00526EC6" w:rsidRDefault="00526EC6"/>
    <w:sectPr w:rsidR="00526E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9A9"/>
    <w:rsid w:val="002D7CB6"/>
    <w:rsid w:val="004159A9"/>
    <w:rsid w:val="00526EC6"/>
    <w:rsid w:val="00795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59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59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330</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McIntire School of Commerce</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 Caitlin (csc6q)</dc:creator>
  <cp:lastModifiedBy>csc6q</cp:lastModifiedBy>
  <cp:revision>2</cp:revision>
  <dcterms:created xsi:type="dcterms:W3CDTF">2011-11-08T15:55:00Z</dcterms:created>
  <dcterms:modified xsi:type="dcterms:W3CDTF">2011-11-10T01:04:00Z</dcterms:modified>
</cp:coreProperties>
</file>