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tblCellMar>
          <w:left w:w="0" w:type="dxa"/>
          <w:right w:w="0" w:type="dxa"/>
        </w:tblCellMar>
        <w:tblLook w:val="04A0" w:firstRow="1" w:lastRow="0" w:firstColumn="1" w:lastColumn="0" w:noHBand="0" w:noVBand="1"/>
      </w:tblPr>
      <w:tblGrid>
        <w:gridCol w:w="9375"/>
      </w:tblGrid>
      <w:tr w:rsidR="00D04AA9" w:rsidRPr="00D04AA9">
        <w:trPr>
          <w:tblCellSpacing w:w="0" w:type="dxa"/>
        </w:trPr>
        <w:tc>
          <w:tcPr>
            <w:tcW w:w="5000" w:type="pct"/>
            <w:tcBorders>
              <w:top w:val="single" w:sz="6" w:space="0" w:color="C5C5C7"/>
              <w:left w:val="nil"/>
              <w:bottom w:val="nil"/>
              <w:right w:val="single" w:sz="6" w:space="0" w:color="C5C5C7"/>
            </w:tcBorders>
            <w:vAlign w:val="center"/>
            <w:hideMark/>
          </w:tcPr>
          <w:p w:rsidR="00D04AA9" w:rsidRPr="00D04AA9" w:rsidRDefault="00D04AA9" w:rsidP="00D04AA9">
            <w:pPr>
              <w:spacing w:after="0" w:line="240" w:lineRule="auto"/>
              <w:rPr>
                <w:rFonts w:ascii="Arial" w:eastAsia="Times New Roman" w:hAnsi="Arial" w:cs="Arial"/>
                <w:color w:val="845757"/>
                <w:sz w:val="19"/>
                <w:szCs w:val="19"/>
              </w:rPr>
            </w:pPr>
            <w:bookmarkStart w:id="0" w:name="top"/>
            <w:r w:rsidRPr="00D04AA9">
              <w:rPr>
                <w:rFonts w:ascii="Arial" w:eastAsia="Times New Roman" w:hAnsi="Arial" w:cs="Arial"/>
                <w:color w:val="845757"/>
                <w:sz w:val="19"/>
                <w:szCs w:val="19"/>
              </w:rPr>
              <w:t>NLE/2009/0033 : 06/10/2009 - EP: decision of the committee responsible, 1st reading/single reading</w:t>
            </w:r>
          </w:p>
        </w:tc>
      </w:tr>
    </w:tbl>
    <w:p w:rsidR="00D04AA9" w:rsidRPr="00D04AA9" w:rsidRDefault="00D04AA9" w:rsidP="00D04AA9">
      <w:pPr>
        <w:spacing w:after="0" w:line="240" w:lineRule="auto"/>
        <w:rPr>
          <w:rFonts w:ascii="Arial" w:eastAsia="Times New Roman" w:hAnsi="Arial" w:cs="Arial"/>
          <w:vanish/>
          <w:color w:val="000000"/>
          <w:sz w:val="24"/>
          <w:szCs w:val="24"/>
        </w:rPr>
      </w:pPr>
    </w:p>
    <w:tbl>
      <w:tblPr>
        <w:tblW w:w="5000" w:type="pct"/>
        <w:tblCellSpacing w:w="0" w:type="dxa"/>
        <w:tblCellMar>
          <w:left w:w="0" w:type="dxa"/>
          <w:right w:w="0" w:type="dxa"/>
        </w:tblCellMar>
        <w:tblLook w:val="04A0" w:firstRow="1" w:lastRow="0" w:firstColumn="1" w:lastColumn="0" w:noHBand="0" w:noVBand="1"/>
      </w:tblPr>
      <w:tblGrid>
        <w:gridCol w:w="9540"/>
      </w:tblGrid>
      <w:tr w:rsidR="00D04AA9" w:rsidRPr="00D04AA9">
        <w:trPr>
          <w:trHeight w:val="300"/>
          <w:tblCellSpacing w:w="0" w:type="dxa"/>
        </w:trPr>
        <w:tc>
          <w:tcPr>
            <w:tcW w:w="0" w:type="auto"/>
            <w:tcBorders>
              <w:left w:val="single" w:sz="6" w:space="0" w:color="C5C5C7"/>
              <w:right w:val="single" w:sz="6" w:space="0" w:color="C5C5C7"/>
            </w:tcBorders>
            <w:tcMar>
              <w:top w:w="0" w:type="dxa"/>
              <w:left w:w="75" w:type="dxa"/>
              <w:bottom w:w="0" w:type="dxa"/>
              <w:right w:w="75" w:type="dxa"/>
            </w:tcMar>
            <w:vAlign w:val="center"/>
            <w:hideMark/>
          </w:tcPr>
          <w:p w:rsidR="00D04AA9" w:rsidRPr="00D04AA9" w:rsidRDefault="00D04AA9" w:rsidP="00D04AA9">
            <w:pPr>
              <w:spacing w:after="0" w:line="240" w:lineRule="auto"/>
              <w:rPr>
                <w:rFonts w:ascii="Arial" w:eastAsia="Times New Roman" w:hAnsi="Arial" w:cs="Arial"/>
                <w:color w:val="000000"/>
                <w:sz w:val="17"/>
                <w:szCs w:val="17"/>
              </w:rPr>
            </w:pPr>
            <w:r w:rsidRPr="00D04AA9">
              <w:rPr>
                <w:rFonts w:ascii="Arial" w:eastAsia="Times New Roman" w:hAnsi="Arial" w:cs="Arial"/>
                <w:color w:val="000000"/>
                <w:sz w:val="17"/>
                <w:szCs w:val="17"/>
              </w:rPr>
              <w:t xml:space="preserve">  </w:t>
            </w:r>
          </w:p>
        </w:tc>
      </w:tr>
    </w:tbl>
    <w:p w:rsidR="00D04AA9" w:rsidRPr="00D04AA9" w:rsidRDefault="00D04AA9" w:rsidP="00D04AA9">
      <w:pPr>
        <w:spacing w:after="0" w:line="240" w:lineRule="auto"/>
        <w:rPr>
          <w:rFonts w:ascii="Arial" w:eastAsia="Times New Roman" w:hAnsi="Arial" w:cs="Arial"/>
          <w:vanish/>
          <w:color w:val="000000"/>
          <w:sz w:val="24"/>
          <w:szCs w:val="24"/>
        </w:rPr>
      </w:pPr>
    </w:p>
    <w:tbl>
      <w:tblPr>
        <w:tblW w:w="5000" w:type="pct"/>
        <w:tblCellSpacing w:w="0" w:type="dxa"/>
        <w:tblBorders>
          <w:left w:val="single" w:sz="6" w:space="0" w:color="C5C5C7"/>
          <w:bottom w:val="single" w:sz="6" w:space="0" w:color="C5C5C7"/>
          <w:right w:val="single" w:sz="6" w:space="0" w:color="C5C5C7"/>
        </w:tblBorders>
        <w:tblCellMar>
          <w:left w:w="150" w:type="dxa"/>
          <w:bottom w:w="225" w:type="dxa"/>
          <w:right w:w="150" w:type="dxa"/>
        </w:tblCellMar>
        <w:tblLook w:val="04A0" w:firstRow="1" w:lastRow="0" w:firstColumn="1" w:lastColumn="0" w:noHBand="0" w:noVBand="1"/>
      </w:tblPr>
      <w:tblGrid>
        <w:gridCol w:w="9690"/>
      </w:tblGrid>
      <w:tr w:rsidR="00D04AA9" w:rsidRPr="00D04AA9">
        <w:trPr>
          <w:tblCellSpacing w:w="0" w:type="dxa"/>
        </w:trPr>
        <w:tc>
          <w:tcPr>
            <w:tcW w:w="0" w:type="auto"/>
            <w:tcBorders>
              <w:bottom w:val="single" w:sz="6" w:space="0" w:color="CCCCCC"/>
              <w:right w:val="single" w:sz="6" w:space="0" w:color="CCCCCC"/>
            </w:tcBorders>
            <w:tcMar>
              <w:top w:w="75" w:type="dxa"/>
              <w:left w:w="150" w:type="dxa"/>
              <w:bottom w:w="75" w:type="dxa"/>
              <w:right w:w="150" w:type="dxa"/>
            </w:tcMar>
            <w:vAlign w:val="center"/>
            <w:hideMark/>
          </w:tcPr>
          <w:p w:rsidR="00D04AA9" w:rsidRPr="00D04AA9" w:rsidRDefault="00D04AA9" w:rsidP="00D04AA9">
            <w:pPr>
              <w:spacing w:before="100" w:beforeAutospacing="1" w:after="100" w:afterAutospacing="1" w:line="240" w:lineRule="auto"/>
              <w:jc w:val="both"/>
              <w:rPr>
                <w:rFonts w:ascii="Times New Roman" w:eastAsia="Times New Roman" w:hAnsi="Times New Roman" w:cs="Times New Roman"/>
                <w:color w:val="000000"/>
                <w:sz w:val="24"/>
                <w:szCs w:val="24"/>
              </w:rPr>
            </w:pPr>
            <w:r w:rsidRPr="00D04AA9">
              <w:rPr>
                <w:rFonts w:ascii="Times New Roman" w:eastAsia="Times New Roman" w:hAnsi="Times New Roman" w:cs="Times New Roman"/>
                <w:color w:val="000000"/>
                <w:sz w:val="24"/>
                <w:szCs w:val="24"/>
                <w:lang w:val="en-GB"/>
              </w:rPr>
              <w:t xml:space="preserve">The Committee on Civil Liberties, Justice and Home Affairs adopted unanimously the report drafted by Carlos COELHO (EPP, PT) calling on the European Parliament to reject the proposal for a Council regulation on the establishment of an evaluation mechanism to verify the application of the Schengen </w:t>
            </w:r>
            <w:proofErr w:type="spellStart"/>
            <w:r w:rsidRPr="00D04AA9">
              <w:rPr>
                <w:rFonts w:ascii="Times New Roman" w:eastAsia="Times New Roman" w:hAnsi="Times New Roman" w:cs="Times New Roman"/>
                <w:color w:val="000000"/>
                <w:sz w:val="24"/>
                <w:szCs w:val="24"/>
                <w:lang w:val="en-GB"/>
              </w:rPr>
              <w:t>acquis</w:t>
            </w:r>
            <w:proofErr w:type="spellEnd"/>
            <w:r w:rsidRPr="00D04AA9">
              <w:rPr>
                <w:rFonts w:ascii="Times New Roman" w:eastAsia="Times New Roman" w:hAnsi="Times New Roman" w:cs="Times New Roman"/>
                <w:color w:val="000000"/>
                <w:sz w:val="24"/>
                <w:szCs w:val="24"/>
                <w:lang w:val="en-GB"/>
              </w:rPr>
              <w:t>.</w:t>
            </w:r>
          </w:p>
          <w:p w:rsidR="00D04AA9" w:rsidRPr="00D04AA9" w:rsidRDefault="00D04AA9" w:rsidP="00D04AA9">
            <w:pPr>
              <w:spacing w:before="100" w:beforeAutospacing="1" w:after="100" w:afterAutospacing="1" w:line="240" w:lineRule="auto"/>
              <w:jc w:val="both"/>
              <w:rPr>
                <w:rFonts w:ascii="Times New Roman" w:eastAsia="Times New Roman" w:hAnsi="Times New Roman" w:cs="Times New Roman"/>
                <w:color w:val="000000"/>
                <w:sz w:val="24"/>
                <w:szCs w:val="24"/>
              </w:rPr>
            </w:pPr>
            <w:r w:rsidRPr="00D04AA9">
              <w:rPr>
                <w:rFonts w:ascii="Times New Roman" w:eastAsia="Times New Roman" w:hAnsi="Times New Roman" w:cs="Times New Roman"/>
                <w:color w:val="000000"/>
                <w:sz w:val="24"/>
                <w:szCs w:val="24"/>
                <w:lang w:val="en-GB"/>
              </w:rPr>
              <w:t>The proposal has been rejected by the MEPs for two reasons:</w:t>
            </w:r>
          </w:p>
          <w:p w:rsidR="00D04AA9" w:rsidRPr="00D04AA9" w:rsidRDefault="00D04AA9" w:rsidP="00D04AA9">
            <w:pPr>
              <w:numPr>
                <w:ilvl w:val="0"/>
                <w:numId w:val="1"/>
              </w:numPr>
              <w:spacing w:before="100" w:beforeAutospacing="1" w:after="100" w:afterAutospacing="1" w:line="240" w:lineRule="auto"/>
              <w:jc w:val="both"/>
              <w:rPr>
                <w:rFonts w:ascii="Arial" w:eastAsia="Times New Roman" w:hAnsi="Arial" w:cs="Arial"/>
                <w:color w:val="000000"/>
                <w:sz w:val="19"/>
                <w:szCs w:val="19"/>
              </w:rPr>
            </w:pPr>
            <w:proofErr w:type="gramStart"/>
            <w:r w:rsidRPr="00D04AA9">
              <w:rPr>
                <w:rFonts w:ascii="Arial" w:eastAsia="Times New Roman" w:hAnsi="Arial" w:cs="Arial"/>
                <w:b/>
                <w:bCs/>
                <w:color w:val="000000"/>
                <w:sz w:val="19"/>
                <w:szCs w:val="19"/>
                <w:lang w:val="en-GB"/>
              </w:rPr>
              <w:t>the</w:t>
            </w:r>
            <w:proofErr w:type="gramEnd"/>
            <w:r w:rsidRPr="00D04AA9">
              <w:rPr>
                <w:rFonts w:ascii="Arial" w:eastAsia="Times New Roman" w:hAnsi="Arial" w:cs="Arial"/>
                <w:b/>
                <w:bCs/>
                <w:color w:val="000000"/>
                <w:sz w:val="19"/>
                <w:szCs w:val="19"/>
                <w:lang w:val="en-GB"/>
              </w:rPr>
              <w:t xml:space="preserve"> scope of the proposal</w:t>
            </w:r>
            <w:r w:rsidRPr="00D04AA9">
              <w:rPr>
                <w:rFonts w:ascii="Arial" w:eastAsia="Times New Roman" w:hAnsi="Arial" w:cs="Arial"/>
                <w:color w:val="000000"/>
                <w:sz w:val="19"/>
                <w:szCs w:val="19"/>
                <w:lang w:val="en-GB"/>
              </w:rPr>
              <w:t>: when the Treaty of Lisbon enters into force, this objective will no longer apply, since the new legal situation will be completely different as a result of the abolition of the Community's pillar structure. It is crucial that a Schengen evaluation mechanism is created that is consistent with the consolidation of tasks currently divided between the first and the third pillar;</w:t>
            </w:r>
          </w:p>
          <w:p w:rsidR="00D04AA9" w:rsidRPr="00D04AA9" w:rsidRDefault="00D04AA9" w:rsidP="00D04AA9">
            <w:pPr>
              <w:numPr>
                <w:ilvl w:val="0"/>
                <w:numId w:val="1"/>
              </w:numPr>
              <w:spacing w:before="100" w:beforeAutospacing="1" w:after="100" w:afterAutospacing="1" w:line="240" w:lineRule="auto"/>
              <w:jc w:val="both"/>
              <w:rPr>
                <w:rFonts w:ascii="Arial" w:eastAsia="Times New Roman" w:hAnsi="Arial" w:cs="Arial"/>
                <w:color w:val="000000"/>
                <w:sz w:val="19"/>
                <w:szCs w:val="19"/>
              </w:rPr>
            </w:pPr>
            <w:proofErr w:type="gramStart"/>
            <w:r w:rsidRPr="00D04AA9">
              <w:rPr>
                <w:rFonts w:ascii="Arial" w:eastAsia="Times New Roman" w:hAnsi="Arial" w:cs="Arial"/>
                <w:b/>
                <w:bCs/>
                <w:color w:val="000000"/>
                <w:sz w:val="19"/>
                <w:szCs w:val="19"/>
                <w:lang w:val="en-GB"/>
              </w:rPr>
              <w:t>legal</w:t>
            </w:r>
            <w:proofErr w:type="gramEnd"/>
            <w:r w:rsidRPr="00D04AA9">
              <w:rPr>
                <w:rFonts w:ascii="Arial" w:eastAsia="Times New Roman" w:hAnsi="Arial" w:cs="Arial"/>
                <w:b/>
                <w:bCs/>
                <w:color w:val="000000"/>
                <w:sz w:val="19"/>
                <w:szCs w:val="19"/>
                <w:lang w:val="en-GB"/>
              </w:rPr>
              <w:t xml:space="preserve"> basis</w:t>
            </w:r>
            <w:r w:rsidRPr="00D04AA9">
              <w:rPr>
                <w:rFonts w:ascii="Arial" w:eastAsia="Times New Roman" w:hAnsi="Arial" w:cs="Arial"/>
                <w:color w:val="000000"/>
                <w:sz w:val="19"/>
                <w:szCs w:val="19"/>
                <w:lang w:val="en-GB"/>
              </w:rPr>
              <w:t xml:space="preserve">: although technically correct, the legal basis laid down for this proposal - i.e. Article 66 of the EC Treaty - could pose problems given that the evaluation mechanism aims to evaluate the operation of the SIS, the VIS, the Schengen Borders Code and the Visa Code which are all subject to the </w:t>
            </w:r>
            <w:proofErr w:type="spellStart"/>
            <w:r w:rsidRPr="00D04AA9">
              <w:rPr>
                <w:rFonts w:ascii="Arial" w:eastAsia="Times New Roman" w:hAnsi="Arial" w:cs="Arial"/>
                <w:color w:val="000000"/>
                <w:sz w:val="19"/>
                <w:szCs w:val="19"/>
                <w:lang w:val="en-GB"/>
              </w:rPr>
              <w:t>codecision</w:t>
            </w:r>
            <w:proofErr w:type="spellEnd"/>
            <w:r w:rsidRPr="00D04AA9">
              <w:rPr>
                <w:rFonts w:ascii="Arial" w:eastAsia="Times New Roman" w:hAnsi="Arial" w:cs="Arial"/>
                <w:color w:val="000000"/>
                <w:sz w:val="19"/>
                <w:szCs w:val="19"/>
                <w:lang w:val="en-GB"/>
              </w:rPr>
              <w:t xml:space="preserve"> procedure. It is for this reason that </w:t>
            </w:r>
            <w:proofErr w:type="spellStart"/>
            <w:r w:rsidRPr="00D04AA9">
              <w:rPr>
                <w:rFonts w:ascii="Arial" w:eastAsia="Times New Roman" w:hAnsi="Arial" w:cs="Arial"/>
                <w:color w:val="000000"/>
                <w:sz w:val="19"/>
                <w:szCs w:val="19"/>
                <w:lang w:val="en-GB"/>
              </w:rPr>
              <w:t>codecision</w:t>
            </w:r>
            <w:proofErr w:type="spellEnd"/>
            <w:r w:rsidRPr="00D04AA9">
              <w:rPr>
                <w:rFonts w:ascii="Arial" w:eastAsia="Times New Roman" w:hAnsi="Arial" w:cs="Arial"/>
                <w:color w:val="000000"/>
                <w:sz w:val="19"/>
                <w:szCs w:val="19"/>
                <w:lang w:val="en-GB"/>
              </w:rPr>
              <w:t xml:space="preserve"> should be the procedure chosen. Parliament's position must not be a mere adjunct but must correspond to the significance of its role in adopting the respective basic legislative instruments. Moreover, given that both proposals show the same shortcomings and, in legal terms, represent two sides of the same coin, i.e. the creation of a single Schengen evaluation system, they should be treated as a package. As a consequence, the Commission is asked to withdrawn this proposal and the </w:t>
            </w:r>
            <w:bookmarkEnd w:id="0"/>
            <w:r w:rsidRPr="00D04AA9">
              <w:rPr>
                <w:rFonts w:ascii="Arial" w:eastAsia="Times New Roman" w:hAnsi="Arial" w:cs="Arial"/>
                <w:color w:val="000000"/>
                <w:sz w:val="19"/>
                <w:szCs w:val="19"/>
                <w:lang w:val="en-GB"/>
              </w:rPr>
              <w:fldChar w:fldCharType="begin"/>
            </w:r>
            <w:r w:rsidRPr="00D04AA9">
              <w:rPr>
                <w:rFonts w:ascii="Arial" w:eastAsia="Times New Roman" w:hAnsi="Arial" w:cs="Arial"/>
                <w:color w:val="000000"/>
                <w:sz w:val="19"/>
                <w:szCs w:val="19"/>
                <w:lang w:val="en-GB"/>
              </w:rPr>
              <w:instrText xml:space="preserve"> HYPERLINK "http://www.europarl.europa.eu/oeil/FindByProcnum.do?lang=en&amp;procnum=CNS/2009/0032" </w:instrText>
            </w:r>
            <w:r w:rsidRPr="00D04AA9">
              <w:rPr>
                <w:rFonts w:ascii="Arial" w:eastAsia="Times New Roman" w:hAnsi="Arial" w:cs="Arial"/>
                <w:color w:val="000000"/>
                <w:sz w:val="19"/>
                <w:szCs w:val="19"/>
                <w:lang w:val="en-GB"/>
              </w:rPr>
              <w:fldChar w:fldCharType="separate"/>
            </w:r>
            <w:r w:rsidRPr="00D04AA9">
              <w:rPr>
                <w:rFonts w:ascii="Arial" w:eastAsia="Times New Roman" w:hAnsi="Arial" w:cs="Arial"/>
                <w:color w:val="0000FF"/>
                <w:sz w:val="19"/>
                <w:szCs w:val="19"/>
                <w:u w:val="single"/>
                <w:lang w:val="en-GB"/>
              </w:rPr>
              <w:t>proposed parallel decision</w:t>
            </w:r>
            <w:r w:rsidRPr="00D04AA9">
              <w:rPr>
                <w:rFonts w:ascii="Arial" w:eastAsia="Times New Roman" w:hAnsi="Arial" w:cs="Arial"/>
                <w:color w:val="000000"/>
                <w:sz w:val="19"/>
                <w:szCs w:val="19"/>
                <w:lang w:val="en-GB"/>
              </w:rPr>
              <w:fldChar w:fldCharType="end"/>
            </w:r>
            <w:r w:rsidRPr="00D04AA9">
              <w:rPr>
                <w:rFonts w:ascii="Arial" w:eastAsia="Times New Roman" w:hAnsi="Arial" w:cs="Arial"/>
                <w:color w:val="000000"/>
                <w:sz w:val="19"/>
                <w:szCs w:val="19"/>
                <w:lang w:val="en-GB"/>
              </w:rPr>
              <w:t xml:space="preserve"> and to submit, substantially improved proposals that respect the </w:t>
            </w:r>
            <w:proofErr w:type="spellStart"/>
            <w:r w:rsidRPr="00D04AA9">
              <w:rPr>
                <w:rFonts w:ascii="Arial" w:eastAsia="Times New Roman" w:hAnsi="Arial" w:cs="Arial"/>
                <w:color w:val="000000"/>
                <w:sz w:val="19"/>
                <w:szCs w:val="19"/>
                <w:lang w:val="en-GB"/>
              </w:rPr>
              <w:t>codecision</w:t>
            </w:r>
            <w:proofErr w:type="spellEnd"/>
            <w:r w:rsidRPr="00D04AA9">
              <w:rPr>
                <w:rFonts w:ascii="Arial" w:eastAsia="Times New Roman" w:hAnsi="Arial" w:cs="Arial"/>
                <w:color w:val="000000"/>
                <w:sz w:val="19"/>
                <w:szCs w:val="19"/>
                <w:lang w:val="en-GB"/>
              </w:rPr>
              <w:t xml:space="preserve"> procedure in relation to the first pillar.</w:t>
            </w:r>
          </w:p>
        </w:tc>
      </w:tr>
    </w:tbl>
    <w:p w:rsidR="00702DAC" w:rsidRDefault="00702DAC">
      <w:bookmarkStart w:id="1" w:name="_GoBack"/>
      <w:bookmarkEnd w:id="1"/>
    </w:p>
    <w:sectPr w:rsidR="00702D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EC3A87"/>
    <w:multiLevelType w:val="multilevel"/>
    <w:tmpl w:val="F6443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4AA9"/>
    <w:rsid w:val="00702DAC"/>
    <w:rsid w:val="00D04A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04AA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04AA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294</Words>
  <Characters>1679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McIntire School of Commerce</Company>
  <LinksUpToDate>false</LinksUpToDate>
  <CharactersWithSpaces>1970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Carr, Caitlin (csc6q)</dc:creator>
  <cp:lastModifiedBy>Carr, Caitlin (csc6q)</cp:lastModifiedBy>
  <cp:revision>1</cp:revision>
  <dcterms:created xsi:type="dcterms:W3CDTF">2011-11-08T15:58:00Z</dcterms:created>
  <dcterms:modified xsi:type="dcterms:W3CDTF">2011-11-08T15:58:00Z</dcterms:modified>
</cp:coreProperties>
</file>