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A8" w:rsidRPr="008156D3" w:rsidRDefault="0001486C" w:rsidP="008746A8">
      <w:pPr>
        <w:jc w:val="center"/>
        <w:rPr>
          <w:rFonts w:cstheme="minorHAnsi"/>
          <w:b/>
          <w:sz w:val="28"/>
          <w:szCs w:val="28"/>
        </w:rPr>
      </w:pPr>
      <w:r w:rsidRPr="008156D3">
        <w:rPr>
          <w:rFonts w:cstheme="minorHAnsi"/>
          <w:b/>
          <w:sz w:val="28"/>
          <w:szCs w:val="28"/>
        </w:rPr>
        <w:t>Pharmacovigilance</w:t>
      </w:r>
    </w:p>
    <w:p w:rsidR="0029072D" w:rsidRPr="008156D3" w:rsidRDefault="00892653" w:rsidP="008746A8">
      <w:pPr>
        <w:rPr>
          <w:rFonts w:cstheme="minorHAnsi"/>
        </w:rPr>
      </w:pPr>
      <w:r w:rsidRPr="008156D3">
        <w:rPr>
          <w:rFonts w:cstheme="minorHAnsi"/>
          <w:b/>
        </w:rPr>
        <w:t>ID</w:t>
      </w:r>
      <w:r w:rsidR="0029072D" w:rsidRPr="008156D3">
        <w:rPr>
          <w:rFonts w:cstheme="minorHAnsi"/>
          <w:b/>
        </w:rPr>
        <w:t>:</w:t>
      </w:r>
      <w:r w:rsidR="00214C86" w:rsidRPr="008156D3">
        <w:rPr>
          <w:rFonts w:cstheme="minorHAnsi"/>
          <w:b/>
        </w:rPr>
        <w:t xml:space="preserve"> </w:t>
      </w:r>
      <w:proofErr w:type="gramStart"/>
      <w:r w:rsidR="0001486C" w:rsidRPr="008156D3">
        <w:rPr>
          <w:rFonts w:cstheme="minorHAnsi"/>
        </w:rPr>
        <w:t>22</w:t>
      </w:r>
      <w:r w:rsidR="00491D99" w:rsidRPr="008156D3">
        <w:rPr>
          <w:rFonts w:cstheme="minorHAnsi"/>
        </w:rPr>
        <w:t xml:space="preserve"> </w:t>
      </w:r>
      <w:r w:rsidR="00214C86" w:rsidRPr="008156D3">
        <w:rPr>
          <w:rFonts w:cstheme="minorHAnsi"/>
        </w:rPr>
        <w:t xml:space="preserve"> </w:t>
      </w:r>
      <w:r w:rsidR="0029072D" w:rsidRPr="008156D3">
        <w:rPr>
          <w:rFonts w:cstheme="minorHAnsi"/>
          <w:b/>
        </w:rPr>
        <w:t>Code</w:t>
      </w:r>
      <w:proofErr w:type="gramEnd"/>
      <w:r w:rsidR="0029072D" w:rsidRPr="008156D3">
        <w:rPr>
          <w:rFonts w:cstheme="minorHAnsi"/>
          <w:b/>
        </w:rPr>
        <w:t>:</w:t>
      </w:r>
      <w:r w:rsidR="0029072D" w:rsidRPr="008156D3">
        <w:rPr>
          <w:rFonts w:cstheme="minorHAnsi"/>
        </w:rPr>
        <w:t xml:space="preserve"> </w:t>
      </w:r>
      <w:r w:rsidR="0001486C" w:rsidRPr="008156D3">
        <w:rPr>
          <w:rFonts w:cstheme="minorHAnsi"/>
        </w:rPr>
        <w:t>COM (2008) 665</w:t>
      </w:r>
      <w:r w:rsidR="00214C86" w:rsidRPr="008156D3">
        <w:rPr>
          <w:rFonts w:cstheme="minorHAnsi"/>
        </w:rPr>
        <w:t xml:space="preserve"> </w:t>
      </w:r>
      <w:r w:rsidR="006B5084" w:rsidRPr="008156D3">
        <w:rPr>
          <w:rFonts w:cstheme="minorHAnsi"/>
          <w:b/>
        </w:rPr>
        <w:t>Type:</w:t>
      </w:r>
      <w:r w:rsidR="00214C86" w:rsidRPr="008156D3">
        <w:rPr>
          <w:rFonts w:cstheme="minorHAnsi"/>
          <w:b/>
        </w:rPr>
        <w:t xml:space="preserve"> </w:t>
      </w:r>
      <w:r w:rsidR="00417A10" w:rsidRPr="008156D3">
        <w:rPr>
          <w:rFonts w:cstheme="minorHAnsi"/>
        </w:rPr>
        <w:t>Directive</w:t>
      </w:r>
      <w:r w:rsidR="00491D99" w:rsidRPr="008156D3">
        <w:rPr>
          <w:rFonts w:cstheme="minorHAnsi"/>
          <w:b/>
        </w:rPr>
        <w:t xml:space="preserve"> Date of Proposal: </w:t>
      </w:r>
      <w:r w:rsidR="0001486C" w:rsidRPr="008156D3">
        <w:rPr>
          <w:rFonts w:cstheme="minorHAnsi"/>
        </w:rPr>
        <w:t>10.12.2008</w:t>
      </w:r>
      <w:r w:rsidR="00214C86" w:rsidRPr="008156D3">
        <w:rPr>
          <w:rFonts w:cstheme="minorHAnsi"/>
        </w:rPr>
        <w:t xml:space="preserve"> </w:t>
      </w:r>
      <w:r w:rsidR="00491D99" w:rsidRPr="008156D3">
        <w:rPr>
          <w:rFonts w:cstheme="minorHAnsi"/>
          <w:b/>
        </w:rPr>
        <w:t>Current Status:</w:t>
      </w:r>
      <w:r w:rsidR="00DD5408" w:rsidRPr="008156D3">
        <w:rPr>
          <w:rFonts w:cstheme="minorHAnsi"/>
          <w:b/>
        </w:rPr>
        <w:t xml:space="preserve"> </w:t>
      </w:r>
      <w:r w:rsidR="0001486C" w:rsidRPr="008156D3">
        <w:rPr>
          <w:rFonts w:cstheme="minorHAnsi"/>
        </w:rPr>
        <w:t xml:space="preserve">in force since </w:t>
      </w:r>
      <w:bookmarkStart w:id="0" w:name="content"/>
      <w:r w:rsidR="0001486C" w:rsidRPr="008156D3">
        <w:rPr>
          <w:rFonts w:cstheme="minorHAnsi"/>
        </w:rPr>
        <w:t>20/01/2011</w:t>
      </w:r>
      <w:bookmarkEnd w:id="0"/>
    </w:p>
    <w:p w:rsidR="0067588E" w:rsidRPr="008156D3" w:rsidRDefault="0067588E" w:rsidP="0067588E">
      <w:pPr>
        <w:spacing w:after="0"/>
        <w:rPr>
          <w:rFonts w:cstheme="minorHAnsi"/>
          <w:b/>
        </w:rPr>
      </w:pPr>
      <w:r w:rsidRPr="008156D3">
        <w:rPr>
          <w:rFonts w:cstheme="minorHAnsi"/>
          <w:b/>
        </w:rPr>
        <w:t xml:space="preserve">Memo by: </w:t>
      </w:r>
      <w:r w:rsidR="0001486C" w:rsidRPr="008156D3">
        <w:rPr>
          <w:rFonts w:cstheme="minorHAnsi"/>
        </w:rPr>
        <w:t>Daniel Rasch</w:t>
      </w:r>
      <w:r w:rsidR="0001486C" w:rsidRPr="008156D3">
        <w:rPr>
          <w:rFonts w:cstheme="minorHAnsi"/>
          <w:b/>
        </w:rPr>
        <w:t xml:space="preserve"> T</w:t>
      </w:r>
      <w:r w:rsidRPr="008156D3">
        <w:rPr>
          <w:rFonts w:cstheme="minorHAnsi"/>
          <w:b/>
        </w:rPr>
        <w:t>eam:</w:t>
      </w:r>
      <w:r w:rsidRPr="008156D3">
        <w:rPr>
          <w:rFonts w:cstheme="minorHAnsi"/>
        </w:rPr>
        <w:t xml:space="preserve"> DE</w:t>
      </w:r>
      <w:r w:rsidRPr="008156D3">
        <w:rPr>
          <w:rFonts w:cstheme="minorHAnsi"/>
          <w:b/>
        </w:rPr>
        <w:t xml:space="preserve"> </w:t>
      </w:r>
    </w:p>
    <w:p w:rsidR="0067588E" w:rsidRPr="008156D3" w:rsidRDefault="0067588E" w:rsidP="00D210EF">
      <w:pPr>
        <w:autoSpaceDE w:val="0"/>
        <w:autoSpaceDN w:val="0"/>
        <w:adjustRightInd w:val="0"/>
        <w:spacing w:after="0" w:line="240" w:lineRule="auto"/>
        <w:rPr>
          <w:rFonts w:cstheme="minorHAnsi"/>
          <w:b/>
        </w:rPr>
      </w:pPr>
    </w:p>
    <w:p w:rsidR="0067588E" w:rsidRPr="008156D3" w:rsidRDefault="0067588E" w:rsidP="00D210EF">
      <w:pPr>
        <w:autoSpaceDE w:val="0"/>
        <w:autoSpaceDN w:val="0"/>
        <w:adjustRightInd w:val="0"/>
        <w:spacing w:after="0" w:line="240" w:lineRule="auto"/>
        <w:rPr>
          <w:rFonts w:cstheme="minorHAnsi"/>
          <w:b/>
        </w:rPr>
      </w:pPr>
    </w:p>
    <w:p w:rsidR="0001486C" w:rsidRPr="008156D3" w:rsidRDefault="0029072D" w:rsidP="0001486C">
      <w:pPr>
        <w:spacing w:after="0"/>
        <w:rPr>
          <w:rFonts w:cstheme="minorHAnsi"/>
          <w:u w:val="single"/>
        </w:rPr>
      </w:pPr>
      <w:r w:rsidRPr="008156D3">
        <w:rPr>
          <w:rFonts w:cstheme="minorHAnsi"/>
          <w:b/>
        </w:rPr>
        <w:t xml:space="preserve">Title: </w:t>
      </w:r>
      <w:r w:rsidR="0001486C" w:rsidRPr="008156D3">
        <w:rPr>
          <w:rFonts w:cstheme="minorHAnsi"/>
          <w:u w:val="single"/>
        </w:rPr>
        <w:t>Proposal for a DIRECTIVE OF THE EUROPEAN PARLIAMENT AND OF THE COUNCIL</w:t>
      </w:r>
    </w:p>
    <w:p w:rsidR="0001486C" w:rsidRPr="008156D3" w:rsidRDefault="0001486C" w:rsidP="0001486C">
      <w:pPr>
        <w:spacing w:after="0"/>
        <w:rPr>
          <w:rFonts w:cstheme="minorHAnsi"/>
          <w:u w:val="single"/>
        </w:rPr>
      </w:pPr>
      <w:proofErr w:type="gramStart"/>
      <w:r w:rsidRPr="008156D3">
        <w:rPr>
          <w:rFonts w:cstheme="minorHAnsi"/>
          <w:u w:val="single"/>
        </w:rPr>
        <w:t>amending</w:t>
      </w:r>
      <w:proofErr w:type="gramEnd"/>
      <w:r w:rsidRPr="008156D3">
        <w:rPr>
          <w:rFonts w:cstheme="minorHAnsi"/>
          <w:u w:val="single"/>
        </w:rPr>
        <w:t>, as regards pharmacovigilance, Directive 2001/83/EC on the Community code</w:t>
      </w:r>
    </w:p>
    <w:p w:rsidR="00D210EF" w:rsidRPr="008156D3" w:rsidRDefault="0001486C" w:rsidP="0001486C">
      <w:pPr>
        <w:spacing w:after="0"/>
        <w:rPr>
          <w:rFonts w:cstheme="minorHAnsi"/>
          <w:u w:val="single"/>
        </w:rPr>
      </w:pPr>
      <w:proofErr w:type="gramStart"/>
      <w:r w:rsidRPr="008156D3">
        <w:rPr>
          <w:rFonts w:cstheme="minorHAnsi"/>
          <w:u w:val="single"/>
        </w:rPr>
        <w:t>relating</w:t>
      </w:r>
      <w:proofErr w:type="gramEnd"/>
      <w:r w:rsidRPr="008156D3">
        <w:rPr>
          <w:rFonts w:cstheme="minorHAnsi"/>
          <w:u w:val="single"/>
        </w:rPr>
        <w:t xml:space="preserve"> to medicinal products for human use</w:t>
      </w:r>
    </w:p>
    <w:p w:rsidR="000C32FB" w:rsidRPr="008156D3" w:rsidRDefault="000C32FB" w:rsidP="00D210EF">
      <w:pPr>
        <w:autoSpaceDE w:val="0"/>
        <w:autoSpaceDN w:val="0"/>
        <w:adjustRightInd w:val="0"/>
        <w:spacing w:after="0" w:line="240" w:lineRule="auto"/>
        <w:rPr>
          <w:rFonts w:cstheme="minorHAnsi"/>
        </w:rPr>
      </w:pPr>
    </w:p>
    <w:p w:rsidR="0029072D" w:rsidRPr="008156D3" w:rsidRDefault="00491D99">
      <w:pPr>
        <w:rPr>
          <w:rFonts w:cstheme="minorHAnsi"/>
        </w:rPr>
      </w:pPr>
      <w:r w:rsidRPr="008156D3">
        <w:rPr>
          <w:rFonts w:cstheme="minorHAnsi"/>
          <w:b/>
        </w:rPr>
        <w:t>Identified Commission Official:</w:t>
      </w:r>
      <w:r w:rsidR="008746A8" w:rsidRPr="008156D3">
        <w:rPr>
          <w:rFonts w:cstheme="minorHAnsi"/>
          <w:b/>
        </w:rPr>
        <w:t xml:space="preserve">  </w:t>
      </w:r>
      <w:r w:rsidR="0001486C" w:rsidRPr="008156D3">
        <w:rPr>
          <w:rFonts w:cstheme="minorHAnsi"/>
        </w:rPr>
        <w:t xml:space="preserve">DG Enterprise and Industry, Günter </w:t>
      </w:r>
      <w:proofErr w:type="spellStart"/>
      <w:r w:rsidR="0001486C" w:rsidRPr="008156D3">
        <w:rPr>
          <w:rFonts w:cstheme="minorHAnsi"/>
        </w:rPr>
        <w:t>Verheugen</w:t>
      </w:r>
      <w:proofErr w:type="spellEnd"/>
      <w:r w:rsidR="00AA3D1F" w:rsidRPr="008156D3">
        <w:rPr>
          <w:rFonts w:cstheme="minorHAnsi"/>
        </w:rPr>
        <w:t xml:space="preserve"> shifted to DG Public Health</w:t>
      </w:r>
    </w:p>
    <w:p w:rsidR="005E65B7" w:rsidRPr="008156D3" w:rsidRDefault="00BD4EB7" w:rsidP="001F231C">
      <w:pPr>
        <w:rPr>
          <w:rFonts w:cstheme="minorHAnsi"/>
          <w:b/>
        </w:rPr>
      </w:pPr>
      <w:r w:rsidRPr="008156D3">
        <w:rPr>
          <w:rFonts w:cstheme="minorHAnsi"/>
          <w:b/>
        </w:rPr>
        <w:t>Objective:</w:t>
      </w:r>
      <w:r w:rsidR="003935B4" w:rsidRPr="008156D3">
        <w:rPr>
          <w:rFonts w:cstheme="minorHAnsi"/>
          <w:b/>
        </w:rPr>
        <w:t xml:space="preserve"> </w:t>
      </w:r>
    </w:p>
    <w:p w:rsidR="00C54F3C" w:rsidRPr="008156D3" w:rsidRDefault="00AA3D1F" w:rsidP="00C54F3C">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 xml:space="preserve">The proposal </w:t>
      </w:r>
      <w:r w:rsidR="00C54F3C" w:rsidRPr="008156D3">
        <w:rPr>
          <w:rFonts w:cstheme="minorHAnsi"/>
          <w:sz w:val="24"/>
          <w:szCs w:val="24"/>
          <w:lang w:val="en-US"/>
        </w:rPr>
        <w:t>is an integral part of the Commission "Strategy to Better Protect Public Health by</w:t>
      </w:r>
    </w:p>
    <w:p w:rsidR="00AA3D1F" w:rsidRPr="008156D3" w:rsidRDefault="00C54F3C" w:rsidP="00C54F3C">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 xml:space="preserve">Strengthening and </w:t>
      </w:r>
      <w:r w:rsidR="009B156E" w:rsidRPr="008156D3">
        <w:rPr>
          <w:rFonts w:cstheme="minorHAnsi"/>
          <w:sz w:val="24"/>
          <w:szCs w:val="24"/>
          <w:lang w:val="en-US"/>
        </w:rPr>
        <w:t>Rationalizing</w:t>
      </w:r>
      <w:r w:rsidRPr="008156D3">
        <w:rPr>
          <w:rFonts w:cstheme="minorHAnsi"/>
          <w:sz w:val="24"/>
          <w:szCs w:val="24"/>
          <w:lang w:val="en-US"/>
        </w:rPr>
        <w:t xml:space="preserve"> EU </w:t>
      </w:r>
      <w:proofErr w:type="spellStart"/>
      <w:r w:rsidRPr="008156D3">
        <w:rPr>
          <w:rFonts w:cstheme="minorHAnsi"/>
          <w:sz w:val="24"/>
          <w:szCs w:val="24"/>
          <w:lang w:val="en-US"/>
        </w:rPr>
        <w:t>Pharmacovigilance</w:t>
      </w:r>
      <w:proofErr w:type="spellEnd"/>
      <w:r w:rsidRPr="008156D3">
        <w:rPr>
          <w:rFonts w:cstheme="minorHAnsi"/>
          <w:sz w:val="24"/>
          <w:szCs w:val="24"/>
          <w:lang w:val="en-US"/>
        </w:rPr>
        <w:t xml:space="preserve">" announced in February 2007 and </w:t>
      </w:r>
      <w:r w:rsidR="00AA3D1F" w:rsidRPr="008156D3">
        <w:rPr>
          <w:rFonts w:cstheme="minorHAnsi"/>
          <w:sz w:val="24"/>
          <w:szCs w:val="24"/>
          <w:lang w:val="en-US"/>
        </w:rPr>
        <w:t>aim</w:t>
      </w:r>
      <w:r w:rsidRPr="008156D3">
        <w:rPr>
          <w:rFonts w:cstheme="minorHAnsi"/>
          <w:sz w:val="24"/>
          <w:szCs w:val="24"/>
          <w:lang w:val="en-US"/>
        </w:rPr>
        <w:t>s</w:t>
      </w:r>
      <w:r w:rsidR="00AA3D1F" w:rsidRPr="008156D3">
        <w:rPr>
          <w:rFonts w:cstheme="minorHAnsi"/>
          <w:sz w:val="24"/>
          <w:szCs w:val="24"/>
          <w:lang w:val="en-US"/>
        </w:rPr>
        <w:t xml:space="preserve"> at the strengthening and rationalizing the Community pharmacovigilance system of medicinal products for human use through the amendment of the two legal acts governing this field, with the overall objectives of better protecting public health, ensuring proper functioning of the internal market and simplifying the current rules and procedures. The specific objectives are: </w:t>
      </w:r>
    </w:p>
    <w:p w:rsidR="00AA3D1F" w:rsidRPr="008156D3" w:rsidRDefault="009B156E"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Rationalizing</w:t>
      </w:r>
      <w:r w:rsidR="00AA3D1F" w:rsidRPr="008156D3">
        <w:rPr>
          <w:rFonts w:cstheme="minorHAnsi"/>
          <w:sz w:val="24"/>
          <w:szCs w:val="24"/>
          <w:lang w:val="en-US"/>
        </w:rPr>
        <w:t xml:space="preserve"> EU decision-making on drug safety issues in order to deliver measures that are equally and fully implemented for all relevant products and across the Community with a view to preventing unnecessary patient exposure to risks;</w:t>
      </w:r>
    </w:p>
    <w:p w:rsidR="00AA3D1F" w:rsidRPr="008156D3" w:rsidRDefault="00AA3D1F"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Strengthening medicines safety transparency and communication to increase the understanding and trust of patients and health professionals in the safety of medicines and improve the penetration of key warnings;</w:t>
      </w:r>
    </w:p>
    <w:p w:rsidR="00AA3D1F" w:rsidRPr="008156D3" w:rsidRDefault="00AA3D1F"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Strengthening companies' pharmacovigilance systems, allowing companies to improve their systems constantly while reducing administrative burden;</w:t>
      </w:r>
    </w:p>
    <w:p w:rsidR="00AA3D1F" w:rsidRPr="008156D3" w:rsidRDefault="00AA3D1F"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 xml:space="preserve">Ensuring the proactive and proportionate collection of high quality data relevant to the safety of medicines through risk management and structured data collection in the form of post </w:t>
      </w:r>
      <w:r w:rsidR="009B156E" w:rsidRPr="008156D3">
        <w:rPr>
          <w:rFonts w:cstheme="minorHAnsi"/>
          <w:sz w:val="24"/>
          <w:szCs w:val="24"/>
          <w:lang w:val="en-US"/>
        </w:rPr>
        <w:t>authorization</w:t>
      </w:r>
      <w:r w:rsidRPr="008156D3">
        <w:rPr>
          <w:rFonts w:cstheme="minorHAnsi"/>
          <w:sz w:val="24"/>
          <w:szCs w:val="24"/>
          <w:lang w:val="en-US"/>
        </w:rPr>
        <w:t xml:space="preserve"> safety studies, together with </w:t>
      </w:r>
      <w:r w:rsidR="009B156E" w:rsidRPr="008156D3">
        <w:rPr>
          <w:rFonts w:cstheme="minorHAnsi"/>
          <w:sz w:val="24"/>
          <w:szCs w:val="24"/>
          <w:lang w:val="en-US"/>
        </w:rPr>
        <w:t>rationalized</w:t>
      </w:r>
      <w:r w:rsidRPr="008156D3">
        <w:rPr>
          <w:rFonts w:cstheme="minorHAnsi"/>
          <w:sz w:val="24"/>
          <w:szCs w:val="24"/>
          <w:lang w:val="en-US"/>
        </w:rPr>
        <w:t xml:space="preserve"> single case and periodic reporting of suspected adverse reactions;</w:t>
      </w:r>
    </w:p>
    <w:p w:rsidR="00AA3D1F" w:rsidRPr="008156D3" w:rsidRDefault="00AA3D1F"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 xml:space="preserve">Involving stakeholders in </w:t>
      </w:r>
      <w:proofErr w:type="spellStart"/>
      <w:r w:rsidRPr="008156D3">
        <w:rPr>
          <w:rFonts w:cstheme="minorHAnsi"/>
          <w:sz w:val="24"/>
          <w:szCs w:val="24"/>
          <w:lang w:val="en-US"/>
        </w:rPr>
        <w:t>pharmacovigilance</w:t>
      </w:r>
      <w:proofErr w:type="spellEnd"/>
      <w:r w:rsidRPr="008156D3">
        <w:rPr>
          <w:rFonts w:cstheme="minorHAnsi"/>
          <w:sz w:val="24"/>
          <w:szCs w:val="24"/>
          <w:lang w:val="en-US"/>
        </w:rPr>
        <w:t xml:space="preserve"> through direct patient reporting of suspected adverse reactions and inclusion of patients and health-care p</w:t>
      </w:r>
      <w:r w:rsidR="009B156E">
        <w:rPr>
          <w:rFonts w:cstheme="minorHAnsi"/>
          <w:sz w:val="24"/>
          <w:szCs w:val="24"/>
          <w:lang w:val="en-US"/>
        </w:rPr>
        <w:t>rofessionals in decision-making;</w:t>
      </w:r>
    </w:p>
    <w:p w:rsidR="00AA3D1F" w:rsidRPr="008156D3" w:rsidRDefault="00AA3D1F" w:rsidP="00AA3D1F">
      <w:pPr>
        <w:pStyle w:val="Listenabsatz"/>
        <w:numPr>
          <w:ilvl w:val="0"/>
          <w:numId w:val="3"/>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Simplification of the current Community pharmacovigilance procedures with consequent efficiency gains for both the pharmaceutical industry and medicines regulators.</w:t>
      </w:r>
    </w:p>
    <w:p w:rsidR="00A7091B" w:rsidRPr="008156D3" w:rsidRDefault="00A7091B" w:rsidP="00AA3D1F">
      <w:pPr>
        <w:rPr>
          <w:rFonts w:cstheme="minorHAnsi"/>
          <w:b/>
        </w:rPr>
      </w:pPr>
    </w:p>
    <w:p w:rsidR="00740E9C" w:rsidRPr="008156D3" w:rsidRDefault="007B76D8" w:rsidP="00AA3D1F">
      <w:pPr>
        <w:rPr>
          <w:rFonts w:cstheme="minorHAnsi"/>
          <w:b/>
        </w:rPr>
      </w:pPr>
      <w:r w:rsidRPr="008156D3">
        <w:rPr>
          <w:rFonts w:cstheme="minorHAnsi"/>
          <w:b/>
        </w:rPr>
        <w:t>Background</w:t>
      </w:r>
      <w:r w:rsidR="00BD4EB7" w:rsidRPr="008156D3">
        <w:rPr>
          <w:rFonts w:cstheme="minorHAnsi"/>
          <w:b/>
        </w:rPr>
        <w:t>:</w:t>
      </w:r>
      <w:r w:rsidR="005B721B" w:rsidRPr="008156D3">
        <w:rPr>
          <w:rFonts w:cstheme="minorHAnsi"/>
          <w:b/>
        </w:rPr>
        <w:t xml:space="preserve"> </w:t>
      </w:r>
      <w:r w:rsidR="00DC077D" w:rsidRPr="008156D3">
        <w:rPr>
          <w:rFonts w:cstheme="minorHAnsi"/>
          <w:b/>
        </w:rPr>
        <w:t xml:space="preserve"> </w:t>
      </w:r>
    </w:p>
    <w:p w:rsidR="00AA3D1F" w:rsidRPr="008156D3" w:rsidRDefault="00AA3D1F" w:rsidP="00AA3D1F">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The Community has had legislation on medicinal products on pharmacovigilance since 1965 but there has been no systematic review of the Community pharmacovigilance legislation since an independent stu</w:t>
      </w:r>
      <w:r w:rsidR="009B156E">
        <w:rPr>
          <w:rFonts w:cstheme="minorHAnsi"/>
          <w:sz w:val="24"/>
          <w:szCs w:val="24"/>
          <w:lang w:val="en-US"/>
        </w:rPr>
        <w:t xml:space="preserve">dy in 2004. One directive from </w:t>
      </w:r>
      <w:r w:rsidRPr="008156D3">
        <w:rPr>
          <w:rFonts w:cstheme="minorHAnsi"/>
          <w:sz w:val="24"/>
          <w:szCs w:val="24"/>
          <w:lang w:val="en-US"/>
        </w:rPr>
        <w:t xml:space="preserve">2001 and one </w:t>
      </w:r>
      <w:r w:rsidR="00873F7D" w:rsidRPr="008156D3">
        <w:rPr>
          <w:rFonts w:cstheme="minorHAnsi"/>
          <w:sz w:val="24"/>
          <w:szCs w:val="24"/>
          <w:lang w:val="en-US"/>
        </w:rPr>
        <w:t>regulation</w:t>
      </w:r>
      <w:r w:rsidRPr="008156D3">
        <w:rPr>
          <w:rFonts w:cstheme="minorHAnsi"/>
          <w:sz w:val="24"/>
          <w:szCs w:val="24"/>
          <w:lang w:val="en-US"/>
        </w:rPr>
        <w:t xml:space="preserve"> f</w:t>
      </w:r>
      <w:r w:rsidR="009B156E">
        <w:rPr>
          <w:rFonts w:cstheme="minorHAnsi"/>
          <w:sz w:val="24"/>
          <w:szCs w:val="24"/>
          <w:lang w:val="en-US"/>
        </w:rPr>
        <w:t>rom 2004 are</w:t>
      </w:r>
      <w:r w:rsidRPr="008156D3">
        <w:rPr>
          <w:rFonts w:cstheme="minorHAnsi"/>
          <w:sz w:val="24"/>
          <w:szCs w:val="24"/>
          <w:lang w:val="en-US"/>
        </w:rPr>
        <w:t xml:space="preserve"> simplified and </w:t>
      </w:r>
      <w:r w:rsidR="00873F7D" w:rsidRPr="008156D3">
        <w:rPr>
          <w:rFonts w:cstheme="minorHAnsi"/>
          <w:sz w:val="24"/>
          <w:szCs w:val="24"/>
          <w:lang w:val="en-US"/>
        </w:rPr>
        <w:t>harmonized</w:t>
      </w:r>
      <w:r w:rsidRPr="008156D3">
        <w:rPr>
          <w:rFonts w:cstheme="minorHAnsi"/>
          <w:sz w:val="24"/>
          <w:szCs w:val="24"/>
          <w:lang w:val="en-US"/>
        </w:rPr>
        <w:t xml:space="preserve"> by this proposal. </w:t>
      </w:r>
    </w:p>
    <w:p w:rsidR="00C54F3C" w:rsidRPr="008156D3" w:rsidRDefault="00F36C92" w:rsidP="00C54F3C">
      <w:pPr>
        <w:rPr>
          <w:rFonts w:cstheme="minorHAnsi"/>
        </w:rPr>
      </w:pPr>
      <w:r w:rsidRPr="008156D3">
        <w:rPr>
          <w:rFonts w:cstheme="minorHAnsi"/>
          <w:b/>
        </w:rPr>
        <w:lastRenderedPageBreak/>
        <w:t>Consultation</w:t>
      </w:r>
      <w:r w:rsidR="00C54F3C" w:rsidRPr="008156D3">
        <w:rPr>
          <w:rFonts w:cstheme="minorHAnsi"/>
          <w:b/>
        </w:rPr>
        <w:t xml:space="preserve"> /</w:t>
      </w:r>
      <w:r w:rsidRPr="008156D3">
        <w:rPr>
          <w:rFonts w:cstheme="minorHAnsi"/>
          <w:b/>
        </w:rPr>
        <w:t xml:space="preserve"> </w:t>
      </w:r>
      <w:r w:rsidR="00C54F3C" w:rsidRPr="008156D3">
        <w:rPr>
          <w:rFonts w:cstheme="minorHAnsi"/>
          <w:b/>
        </w:rPr>
        <w:t>Organised Interest Activity:</w:t>
      </w:r>
      <w:r w:rsidR="00C54F3C" w:rsidRPr="008156D3">
        <w:rPr>
          <w:rFonts w:cstheme="minorHAnsi"/>
        </w:rPr>
        <w:t xml:space="preserve"> </w:t>
      </w:r>
    </w:p>
    <w:p w:rsidR="00AA3D1F" w:rsidRPr="008156D3" w:rsidRDefault="00873F7D" w:rsidP="00873F7D">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I</w:t>
      </w:r>
      <w:r w:rsidR="00AA3D1F" w:rsidRPr="008156D3">
        <w:rPr>
          <w:rFonts w:cstheme="minorHAnsi"/>
          <w:sz w:val="24"/>
          <w:szCs w:val="24"/>
          <w:lang w:val="en-US"/>
        </w:rPr>
        <w:t>n 2004</w:t>
      </w:r>
      <w:r w:rsidRPr="008156D3">
        <w:rPr>
          <w:rFonts w:cstheme="minorHAnsi"/>
          <w:sz w:val="24"/>
          <w:szCs w:val="24"/>
          <w:lang w:val="en-US"/>
        </w:rPr>
        <w:t>,</w:t>
      </w:r>
      <w:r w:rsidR="00AA3D1F" w:rsidRPr="008156D3">
        <w:rPr>
          <w:rFonts w:cstheme="minorHAnsi"/>
          <w:sz w:val="24"/>
          <w:szCs w:val="24"/>
          <w:lang w:val="en-US"/>
        </w:rPr>
        <w:t xml:space="preserve"> the</w:t>
      </w:r>
      <w:r w:rsidRPr="008156D3">
        <w:rPr>
          <w:rFonts w:cstheme="minorHAnsi"/>
          <w:sz w:val="24"/>
          <w:szCs w:val="24"/>
          <w:lang w:val="en-US"/>
        </w:rPr>
        <w:t xml:space="preserve"> </w:t>
      </w:r>
      <w:r w:rsidR="00AA3D1F" w:rsidRPr="008156D3">
        <w:rPr>
          <w:rFonts w:cstheme="minorHAnsi"/>
          <w:sz w:val="24"/>
          <w:szCs w:val="24"/>
          <w:lang w:val="en-US"/>
        </w:rPr>
        <w:t>Commission services launched an independent study into the functioning of the Community</w:t>
      </w:r>
      <w:r w:rsidRPr="008156D3">
        <w:rPr>
          <w:rFonts w:cstheme="minorHAnsi"/>
          <w:sz w:val="24"/>
          <w:szCs w:val="24"/>
          <w:lang w:val="en-US"/>
        </w:rPr>
        <w:t xml:space="preserve"> </w:t>
      </w:r>
      <w:r w:rsidR="00AA3D1F" w:rsidRPr="008156D3">
        <w:rPr>
          <w:rFonts w:cstheme="minorHAnsi"/>
          <w:sz w:val="24"/>
          <w:szCs w:val="24"/>
          <w:lang w:val="en-US"/>
        </w:rPr>
        <w:t xml:space="preserve">pharmacovigilance system. </w:t>
      </w:r>
      <w:r w:rsidRPr="008156D3">
        <w:rPr>
          <w:rFonts w:cstheme="minorHAnsi"/>
          <w:sz w:val="24"/>
          <w:szCs w:val="24"/>
          <w:lang w:val="en-US"/>
        </w:rPr>
        <w:t>T</w:t>
      </w:r>
      <w:r w:rsidR="00AA3D1F" w:rsidRPr="008156D3">
        <w:rPr>
          <w:rFonts w:cstheme="minorHAnsi"/>
          <w:sz w:val="24"/>
          <w:szCs w:val="24"/>
          <w:lang w:val="en-US"/>
        </w:rPr>
        <w:t>wo internet-based public consultations,</w:t>
      </w:r>
      <w:r w:rsidRPr="008156D3">
        <w:rPr>
          <w:rFonts w:cstheme="minorHAnsi"/>
          <w:sz w:val="24"/>
          <w:szCs w:val="24"/>
          <w:lang w:val="en-US"/>
        </w:rPr>
        <w:t xml:space="preserve"> </w:t>
      </w:r>
      <w:r w:rsidR="00AA3D1F" w:rsidRPr="008156D3">
        <w:rPr>
          <w:rFonts w:cstheme="minorHAnsi"/>
          <w:sz w:val="24"/>
          <w:szCs w:val="24"/>
          <w:lang w:val="en-US"/>
        </w:rPr>
        <w:t>dedicated workshops, questi</w:t>
      </w:r>
      <w:r w:rsidRPr="008156D3">
        <w:rPr>
          <w:rFonts w:cstheme="minorHAnsi"/>
          <w:sz w:val="24"/>
          <w:szCs w:val="24"/>
          <w:lang w:val="en-US"/>
        </w:rPr>
        <w:t>onnaires and bilateral meetings were held.</w:t>
      </w:r>
    </w:p>
    <w:p w:rsidR="00C54F3C" w:rsidRPr="008156D3" w:rsidRDefault="00C54F3C" w:rsidP="00C54F3C">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The Commission consultation received 81 contributions. In summary:</w:t>
      </w:r>
    </w:p>
    <w:p w:rsidR="00C54F3C" w:rsidRPr="008156D3" w:rsidRDefault="00C54F3C" w:rsidP="00C54F3C">
      <w:p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 xml:space="preserve">• 5 responses from patient and consumer groups, • 16 from healthcare professional groups and academics, • 26 from regulators including the European Medicines Agency Committees, individual European medicines agencies and regulatory authorities outside the EEA, • 28 from industry including the relevant European Industry Associations, • 6 others, including the European Monitoring Centre for Drugs and Drug, Addiction, the International Network of Safe Medication Practice </w:t>
      </w:r>
      <w:r w:rsidR="009B156E" w:rsidRPr="008156D3">
        <w:rPr>
          <w:rFonts w:cstheme="minorHAnsi"/>
          <w:sz w:val="24"/>
          <w:szCs w:val="24"/>
          <w:lang w:val="en-US"/>
        </w:rPr>
        <w:t>Centers</w:t>
      </w:r>
      <w:r w:rsidRPr="008156D3">
        <w:rPr>
          <w:rFonts w:cstheme="minorHAnsi"/>
          <w:sz w:val="24"/>
          <w:szCs w:val="24"/>
          <w:lang w:val="en-US"/>
        </w:rPr>
        <w:t>, the International Society of Drug Bulletins, and European and International health insurance associations. Only two of eighty-two responses were not welcoming the proposals. There was strong support for improving the robustness of EU pharmacovigilance with clear legal provisions and better use of resources i.e. resources used to monitor the safety of medicines and take action to reduce risks to users rather than used to meet duplicative administrative requirements.</w:t>
      </w:r>
    </w:p>
    <w:p w:rsidR="00C54F3C" w:rsidRPr="008156D3" w:rsidRDefault="00C54F3C" w:rsidP="00C54F3C">
      <w:pPr>
        <w:autoSpaceDE w:val="0"/>
        <w:autoSpaceDN w:val="0"/>
        <w:adjustRightInd w:val="0"/>
        <w:spacing w:after="0" w:line="240" w:lineRule="auto"/>
        <w:rPr>
          <w:rFonts w:cstheme="minorHAnsi"/>
          <w:sz w:val="24"/>
          <w:szCs w:val="24"/>
          <w:lang w:val="en-US"/>
        </w:rPr>
      </w:pPr>
    </w:p>
    <w:p w:rsidR="001F231C" w:rsidRPr="008156D3" w:rsidRDefault="00BD4EB7">
      <w:pPr>
        <w:rPr>
          <w:rFonts w:cstheme="minorHAnsi"/>
          <w:b/>
        </w:rPr>
      </w:pPr>
      <w:r w:rsidRPr="008156D3">
        <w:rPr>
          <w:rFonts w:cstheme="minorHAnsi"/>
          <w:b/>
        </w:rPr>
        <w:t>Issues</w:t>
      </w:r>
      <w:r w:rsidR="008156D3">
        <w:rPr>
          <w:rFonts w:cstheme="minorHAnsi"/>
          <w:b/>
        </w:rPr>
        <w:t xml:space="preserve"> / </w:t>
      </w:r>
      <w:r w:rsidRPr="008156D3">
        <w:rPr>
          <w:rFonts w:cstheme="minorHAnsi"/>
          <w:b/>
        </w:rPr>
        <w:t>Frames:</w:t>
      </w:r>
      <w:r w:rsidR="00C77A26" w:rsidRPr="008156D3">
        <w:rPr>
          <w:rFonts w:cstheme="minorHAnsi"/>
          <w:b/>
        </w:rPr>
        <w:t xml:space="preserve"> </w:t>
      </w:r>
    </w:p>
    <w:p w:rsidR="00A7091B" w:rsidRPr="008156D3" w:rsidRDefault="00AC7655" w:rsidP="00AC7655">
      <w:pPr>
        <w:pStyle w:val="Listenabsatz"/>
        <w:numPr>
          <w:ilvl w:val="0"/>
          <w:numId w:val="2"/>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Pharmacovigilance rules are necessary for the protection of public health in order to</w:t>
      </w:r>
      <w:r w:rsidR="00C54F3C" w:rsidRPr="008156D3">
        <w:rPr>
          <w:rFonts w:cstheme="minorHAnsi"/>
          <w:sz w:val="24"/>
          <w:szCs w:val="24"/>
          <w:lang w:val="en-US"/>
        </w:rPr>
        <w:t xml:space="preserve"> </w:t>
      </w:r>
      <w:r w:rsidRPr="008156D3">
        <w:rPr>
          <w:rFonts w:cstheme="minorHAnsi"/>
          <w:sz w:val="24"/>
          <w:szCs w:val="24"/>
          <w:lang w:val="en-US"/>
        </w:rPr>
        <w:t>prevent, detect and assess adverse effects of medicinal products.</w:t>
      </w:r>
    </w:p>
    <w:p w:rsidR="00C54F3C" w:rsidRPr="008156D3" w:rsidRDefault="00A7091B" w:rsidP="00C54F3C">
      <w:pPr>
        <w:pStyle w:val="Listenabsatz"/>
        <w:numPr>
          <w:ilvl w:val="0"/>
          <w:numId w:val="2"/>
        </w:numPr>
        <w:autoSpaceDE w:val="0"/>
        <w:autoSpaceDN w:val="0"/>
        <w:adjustRightInd w:val="0"/>
        <w:spacing w:after="0" w:line="240" w:lineRule="auto"/>
        <w:rPr>
          <w:rFonts w:cstheme="minorHAnsi"/>
          <w:sz w:val="24"/>
          <w:szCs w:val="24"/>
          <w:lang w:val="en-US"/>
        </w:rPr>
      </w:pPr>
      <w:r w:rsidRPr="008156D3">
        <w:rPr>
          <w:rFonts w:cstheme="minorHAnsi"/>
        </w:rPr>
        <w:t>Pharmacovigilance rules are necessary for the protection of public health in order to prevent, detect and assess adverse reactions to medicinal products placed on the Union market, as the full safety profile of medicinal products can only be known after they have been placed on the market.</w:t>
      </w:r>
    </w:p>
    <w:p w:rsidR="00C54F3C" w:rsidRPr="008156D3" w:rsidRDefault="00C54F3C" w:rsidP="00C54F3C">
      <w:pPr>
        <w:pStyle w:val="Listenabsatz"/>
        <w:numPr>
          <w:ilvl w:val="0"/>
          <w:numId w:val="2"/>
        </w:numPr>
        <w:autoSpaceDE w:val="0"/>
        <w:autoSpaceDN w:val="0"/>
        <w:adjustRightInd w:val="0"/>
        <w:spacing w:after="0" w:line="240" w:lineRule="auto"/>
        <w:rPr>
          <w:rFonts w:cstheme="minorHAnsi"/>
          <w:sz w:val="24"/>
          <w:szCs w:val="24"/>
          <w:lang w:val="en-US"/>
        </w:rPr>
      </w:pPr>
      <w:r w:rsidRPr="008156D3">
        <w:rPr>
          <w:rFonts w:cstheme="minorHAnsi"/>
          <w:sz w:val="24"/>
          <w:szCs w:val="24"/>
          <w:lang w:val="en-US"/>
        </w:rPr>
        <w:t>the package of proposals will save the EU industry sector an estimated €145 Million per year representing 17.4% of their current EU spending on pharmacovigilance</w:t>
      </w:r>
    </w:p>
    <w:p w:rsidR="00C54F3C" w:rsidRPr="008156D3" w:rsidRDefault="00C54F3C" w:rsidP="00C54F3C">
      <w:pPr>
        <w:pStyle w:val="Listenabsatz"/>
        <w:numPr>
          <w:ilvl w:val="0"/>
          <w:numId w:val="2"/>
        </w:numPr>
        <w:autoSpaceDE w:val="0"/>
        <w:autoSpaceDN w:val="0"/>
        <w:adjustRightInd w:val="0"/>
        <w:spacing w:after="0" w:line="240" w:lineRule="auto"/>
        <w:rPr>
          <w:rFonts w:cstheme="minorHAnsi"/>
          <w:sz w:val="24"/>
          <w:szCs w:val="24"/>
          <w:lang w:val="en-US"/>
        </w:rPr>
      </w:pPr>
      <w:proofErr w:type="gramStart"/>
      <w:r w:rsidRPr="008156D3">
        <w:rPr>
          <w:rFonts w:cstheme="minorHAnsi"/>
          <w:sz w:val="24"/>
          <w:szCs w:val="24"/>
          <w:lang w:val="en-US"/>
        </w:rPr>
        <w:t>need</w:t>
      </w:r>
      <w:proofErr w:type="gramEnd"/>
      <w:r w:rsidRPr="008156D3">
        <w:rPr>
          <w:rFonts w:cstheme="minorHAnsi"/>
          <w:sz w:val="24"/>
          <w:szCs w:val="24"/>
          <w:lang w:val="en-US"/>
        </w:rPr>
        <w:t xml:space="preserve"> to </w:t>
      </w:r>
      <w:r w:rsidR="009B156E" w:rsidRPr="008156D3">
        <w:rPr>
          <w:rFonts w:cstheme="minorHAnsi"/>
          <w:sz w:val="24"/>
          <w:szCs w:val="24"/>
          <w:lang w:val="en-US"/>
        </w:rPr>
        <w:t>rationalize</w:t>
      </w:r>
      <w:r w:rsidRPr="008156D3">
        <w:rPr>
          <w:rFonts w:cstheme="minorHAnsi"/>
          <w:sz w:val="24"/>
          <w:szCs w:val="24"/>
          <w:lang w:val="en-US"/>
        </w:rPr>
        <w:t xml:space="preserve"> EU decision-making on safety issues. This support included strong endorsement for the establishment of an automatic pharmacovigilance referral procedure with non-discretional referral triggers placed on the Member States.</w:t>
      </w:r>
    </w:p>
    <w:p w:rsidR="00AC7655" w:rsidRPr="008156D3" w:rsidRDefault="00AC7655" w:rsidP="00AC7655">
      <w:pPr>
        <w:autoSpaceDE w:val="0"/>
        <w:autoSpaceDN w:val="0"/>
        <w:adjustRightInd w:val="0"/>
        <w:spacing w:after="0" w:line="240" w:lineRule="auto"/>
        <w:rPr>
          <w:rFonts w:cstheme="minorHAnsi"/>
          <w:sz w:val="24"/>
          <w:szCs w:val="24"/>
          <w:lang w:val="en-US"/>
        </w:rPr>
      </w:pPr>
    </w:p>
    <w:p w:rsidR="001F231C" w:rsidRPr="008156D3" w:rsidRDefault="00BD4EB7" w:rsidP="00AC7655">
      <w:pPr>
        <w:rPr>
          <w:rFonts w:cstheme="minorHAnsi"/>
        </w:rPr>
      </w:pPr>
      <w:r w:rsidRPr="008156D3">
        <w:rPr>
          <w:rFonts w:cstheme="minorHAnsi"/>
          <w:b/>
        </w:rPr>
        <w:t>Other Information:</w:t>
      </w:r>
      <w:r w:rsidR="000253F8" w:rsidRPr="008156D3">
        <w:rPr>
          <w:rFonts w:cstheme="minorHAnsi"/>
          <w:b/>
        </w:rPr>
        <w:t xml:space="preserve"> </w:t>
      </w:r>
    </w:p>
    <w:p w:rsidR="00757F91" w:rsidRDefault="009B156E" w:rsidP="009B156E">
      <w:pPr>
        <w:rPr>
          <w:rFonts w:cstheme="minorHAnsi"/>
        </w:rPr>
      </w:pPr>
      <w:r>
        <w:rPr>
          <w:rFonts w:cstheme="minorHAnsi"/>
        </w:rPr>
        <w:t xml:space="preserve">Definition of </w:t>
      </w:r>
      <w:proofErr w:type="spellStart"/>
      <w:r>
        <w:rPr>
          <w:rFonts w:cstheme="minorHAnsi"/>
        </w:rPr>
        <w:t>pharmacovigilance</w:t>
      </w:r>
      <w:proofErr w:type="spellEnd"/>
      <w:r>
        <w:rPr>
          <w:rFonts w:cstheme="minorHAnsi"/>
        </w:rPr>
        <w:t xml:space="preserve">: </w:t>
      </w:r>
      <w:r w:rsidRPr="009B156E">
        <w:rPr>
          <w:rFonts w:cstheme="minorHAnsi"/>
        </w:rPr>
        <w:t>the monitoring of adverse effects of drugs and herbal remedies as they are used in the population.</w:t>
      </w:r>
    </w:p>
    <w:p w:rsidR="009B156E" w:rsidRPr="008156D3" w:rsidRDefault="009B156E" w:rsidP="009B156E">
      <w:pPr>
        <w:rPr>
          <w:rFonts w:cstheme="minorHAnsi"/>
        </w:rPr>
      </w:pPr>
      <w:hyperlink r:id="rId8" w:history="1">
        <w:r w:rsidRPr="00D50EBC">
          <w:rPr>
            <w:rStyle w:val="Hyperlink"/>
            <w:rFonts w:cstheme="minorHAnsi"/>
          </w:rPr>
          <w:t>http://moh.gov.jm/administrative/pharmacovigilance</w:t>
        </w:r>
      </w:hyperlink>
      <w:r>
        <w:rPr>
          <w:rFonts w:cstheme="minorHAnsi"/>
        </w:rPr>
        <w:t xml:space="preserve"> </w:t>
      </w:r>
      <w:bookmarkStart w:id="1" w:name="_GoBack"/>
      <w:bookmarkEnd w:id="1"/>
    </w:p>
    <w:sectPr w:rsidR="009B156E" w:rsidRPr="008156D3" w:rsidSect="00DD5408">
      <w:footerReference w:type="default" r:id="rId9"/>
      <w:pgSz w:w="11906" w:h="16838"/>
      <w:pgMar w:top="1440" w:right="1134" w:bottom="124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E4" w:rsidRDefault="001A29E4" w:rsidP="00DD5408">
      <w:pPr>
        <w:spacing w:after="0" w:line="240" w:lineRule="auto"/>
      </w:pPr>
      <w:r>
        <w:separator/>
      </w:r>
    </w:p>
  </w:endnote>
  <w:endnote w:type="continuationSeparator" w:id="0">
    <w:p w:rsidR="001A29E4" w:rsidRDefault="001A29E4" w:rsidP="00DD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00012"/>
      <w:docPartObj>
        <w:docPartGallery w:val="Page Numbers (Bottom of Page)"/>
        <w:docPartUnique/>
      </w:docPartObj>
    </w:sdtPr>
    <w:sdtEndPr>
      <w:rPr>
        <w:noProof/>
      </w:rPr>
    </w:sdtEndPr>
    <w:sdtContent>
      <w:p w:rsidR="00DD5408" w:rsidRDefault="005A0271">
        <w:pPr>
          <w:pStyle w:val="Fuzeile"/>
          <w:jc w:val="right"/>
        </w:pPr>
        <w:r>
          <w:fldChar w:fldCharType="begin"/>
        </w:r>
        <w:r w:rsidR="00DD5408">
          <w:instrText xml:space="preserve"> PAGE   \* MERGEFORMAT </w:instrText>
        </w:r>
        <w:r>
          <w:fldChar w:fldCharType="separate"/>
        </w:r>
        <w:r w:rsidR="009B156E">
          <w:rPr>
            <w:noProof/>
          </w:rPr>
          <w:t>2</w:t>
        </w:r>
        <w:r>
          <w:rPr>
            <w:noProof/>
          </w:rPr>
          <w:fldChar w:fldCharType="end"/>
        </w:r>
      </w:p>
    </w:sdtContent>
  </w:sdt>
  <w:p w:rsidR="00DD5408" w:rsidRDefault="00DD54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E4" w:rsidRDefault="001A29E4" w:rsidP="00DD5408">
      <w:pPr>
        <w:spacing w:after="0" w:line="240" w:lineRule="auto"/>
      </w:pPr>
      <w:r>
        <w:separator/>
      </w:r>
    </w:p>
  </w:footnote>
  <w:footnote w:type="continuationSeparator" w:id="0">
    <w:p w:rsidR="001A29E4" w:rsidRDefault="001A29E4" w:rsidP="00DD5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3F"/>
    <w:multiLevelType w:val="hybridMultilevel"/>
    <w:tmpl w:val="9828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FB4622"/>
    <w:multiLevelType w:val="hybridMultilevel"/>
    <w:tmpl w:val="79B8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8F541D"/>
    <w:multiLevelType w:val="hybridMultilevel"/>
    <w:tmpl w:val="59F8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F7"/>
    <w:rsid w:val="0001486C"/>
    <w:rsid w:val="000253F8"/>
    <w:rsid w:val="000368DB"/>
    <w:rsid w:val="0007481A"/>
    <w:rsid w:val="000C32FB"/>
    <w:rsid w:val="000F2A37"/>
    <w:rsid w:val="0010671D"/>
    <w:rsid w:val="00122C69"/>
    <w:rsid w:val="00164ECC"/>
    <w:rsid w:val="00177A71"/>
    <w:rsid w:val="001943F9"/>
    <w:rsid w:val="001A29E4"/>
    <w:rsid w:val="001F231C"/>
    <w:rsid w:val="00214C86"/>
    <w:rsid w:val="00223E98"/>
    <w:rsid w:val="002607CB"/>
    <w:rsid w:val="00274E78"/>
    <w:rsid w:val="0029072D"/>
    <w:rsid w:val="00297DF2"/>
    <w:rsid w:val="003935B4"/>
    <w:rsid w:val="003A44DA"/>
    <w:rsid w:val="003E2903"/>
    <w:rsid w:val="00402787"/>
    <w:rsid w:val="00417A10"/>
    <w:rsid w:val="00491D99"/>
    <w:rsid w:val="004C3936"/>
    <w:rsid w:val="004C654F"/>
    <w:rsid w:val="005364FB"/>
    <w:rsid w:val="0054653F"/>
    <w:rsid w:val="00556BF7"/>
    <w:rsid w:val="0057056E"/>
    <w:rsid w:val="005A0271"/>
    <w:rsid w:val="005B721B"/>
    <w:rsid w:val="005C2AA1"/>
    <w:rsid w:val="005E65B7"/>
    <w:rsid w:val="005F39A1"/>
    <w:rsid w:val="0067588E"/>
    <w:rsid w:val="006855C4"/>
    <w:rsid w:val="006B5084"/>
    <w:rsid w:val="006D0D74"/>
    <w:rsid w:val="006E2EF2"/>
    <w:rsid w:val="00740E9C"/>
    <w:rsid w:val="00757F91"/>
    <w:rsid w:val="00764D2F"/>
    <w:rsid w:val="007A4E3E"/>
    <w:rsid w:val="007B76D8"/>
    <w:rsid w:val="007C4782"/>
    <w:rsid w:val="007F0307"/>
    <w:rsid w:val="008156D3"/>
    <w:rsid w:val="00822BA7"/>
    <w:rsid w:val="008614A3"/>
    <w:rsid w:val="00862926"/>
    <w:rsid w:val="008720E6"/>
    <w:rsid w:val="00873F7D"/>
    <w:rsid w:val="008746A8"/>
    <w:rsid w:val="00892653"/>
    <w:rsid w:val="008C143A"/>
    <w:rsid w:val="00970B76"/>
    <w:rsid w:val="00980E9A"/>
    <w:rsid w:val="0099047D"/>
    <w:rsid w:val="009B156E"/>
    <w:rsid w:val="009F78CF"/>
    <w:rsid w:val="00A21C16"/>
    <w:rsid w:val="00A402ED"/>
    <w:rsid w:val="00A7091B"/>
    <w:rsid w:val="00AA3D1F"/>
    <w:rsid w:val="00AC7655"/>
    <w:rsid w:val="00BD4EB7"/>
    <w:rsid w:val="00C1198B"/>
    <w:rsid w:val="00C54F3C"/>
    <w:rsid w:val="00C77A26"/>
    <w:rsid w:val="00C852AD"/>
    <w:rsid w:val="00CC719D"/>
    <w:rsid w:val="00CF7712"/>
    <w:rsid w:val="00D210EF"/>
    <w:rsid w:val="00D600F3"/>
    <w:rsid w:val="00D6366B"/>
    <w:rsid w:val="00DB085E"/>
    <w:rsid w:val="00DC077D"/>
    <w:rsid w:val="00DD5408"/>
    <w:rsid w:val="00E8486F"/>
    <w:rsid w:val="00E93EB1"/>
    <w:rsid w:val="00F07B8E"/>
    <w:rsid w:val="00F325CE"/>
    <w:rsid w:val="00F36C92"/>
    <w:rsid w:val="00FE06FB"/>
    <w:rsid w:val="00FF0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40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D5408"/>
  </w:style>
  <w:style w:type="paragraph" w:styleId="Fuzeile">
    <w:name w:val="footer"/>
    <w:basedOn w:val="Standard"/>
    <w:link w:val="FuzeileZchn"/>
    <w:uiPriority w:val="99"/>
    <w:unhideWhenUsed/>
    <w:rsid w:val="00DD540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D5408"/>
  </w:style>
  <w:style w:type="paragraph" w:styleId="Verzeichnis1">
    <w:name w:val="toc 1"/>
    <w:basedOn w:val="Standard"/>
    <w:next w:val="Standard"/>
    <w:autoRedefine/>
    <w:uiPriority w:val="39"/>
    <w:semiHidden/>
    <w:unhideWhenUsed/>
    <w:rsid w:val="000368DB"/>
    <w:pPr>
      <w:spacing w:after="100"/>
    </w:pPr>
  </w:style>
  <w:style w:type="paragraph" w:styleId="Listenabsatz">
    <w:name w:val="List Paragraph"/>
    <w:basedOn w:val="Standard"/>
    <w:uiPriority w:val="34"/>
    <w:qFormat/>
    <w:rsid w:val="00AC7655"/>
    <w:pPr>
      <w:ind w:left="720"/>
      <w:contextualSpacing/>
    </w:pPr>
  </w:style>
  <w:style w:type="character" w:styleId="Hyperlink">
    <w:name w:val="Hyperlink"/>
    <w:basedOn w:val="Absatz-Standardschriftart"/>
    <w:uiPriority w:val="99"/>
    <w:unhideWhenUsed/>
    <w:rsid w:val="009B15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40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D5408"/>
  </w:style>
  <w:style w:type="paragraph" w:styleId="Fuzeile">
    <w:name w:val="footer"/>
    <w:basedOn w:val="Standard"/>
    <w:link w:val="FuzeileZchn"/>
    <w:uiPriority w:val="99"/>
    <w:unhideWhenUsed/>
    <w:rsid w:val="00DD540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D5408"/>
  </w:style>
  <w:style w:type="paragraph" w:styleId="Verzeichnis1">
    <w:name w:val="toc 1"/>
    <w:basedOn w:val="Standard"/>
    <w:next w:val="Standard"/>
    <w:autoRedefine/>
    <w:uiPriority w:val="39"/>
    <w:semiHidden/>
    <w:unhideWhenUsed/>
    <w:rsid w:val="000368DB"/>
    <w:pPr>
      <w:spacing w:after="100"/>
    </w:pPr>
  </w:style>
  <w:style w:type="paragraph" w:styleId="Listenabsatz">
    <w:name w:val="List Paragraph"/>
    <w:basedOn w:val="Standard"/>
    <w:uiPriority w:val="34"/>
    <w:qFormat/>
    <w:rsid w:val="00AC7655"/>
    <w:pPr>
      <w:ind w:left="720"/>
      <w:contextualSpacing/>
    </w:pPr>
  </w:style>
  <w:style w:type="character" w:styleId="Hyperlink">
    <w:name w:val="Hyperlink"/>
    <w:basedOn w:val="Absatz-Standardschriftart"/>
    <w:uiPriority w:val="99"/>
    <w:unhideWhenUsed/>
    <w:rsid w:val="009B1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h.gov.jm/administrative/pharmacovigila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Eising</cp:lastModifiedBy>
  <cp:revision>6</cp:revision>
  <cp:lastPrinted>2011-11-24T14:27:00Z</cp:lastPrinted>
  <dcterms:created xsi:type="dcterms:W3CDTF">2012-05-22T09:21:00Z</dcterms:created>
  <dcterms:modified xsi:type="dcterms:W3CDTF">2012-05-23T08:10:00Z</dcterms:modified>
</cp:coreProperties>
</file>