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FA" w:rsidRDefault="008132E9">
      <w:r>
        <w:t>COM (2008) 134 –Proposal for a Directive of the European Parliament and of the Council amending Directive 2005/35/EC on ship-source pollution and on the introduction of penalties for infringements</w:t>
      </w:r>
    </w:p>
    <w:p w:rsidR="008132E9" w:rsidRDefault="008132E9">
      <w:r>
        <w:t>This proposal builds on Directive 2005/35/EC and uses substantial content from the annulled Framework Decision 2005/667/JHA.  The main objective of this legislation is to strengthen the criminal-law framework for enforcing laws against ship-source pollution.  No consultation was held because the proposal incorporates the same provisions that were unanimously voted upon by the Council in the annulled Framework Decision.  The European Parliament adopted the legislation on 5 May 2009.</w:t>
      </w:r>
      <w:bookmarkStart w:id="0" w:name="_GoBack"/>
      <w:bookmarkEnd w:id="0"/>
    </w:p>
    <w:sectPr w:rsidR="00813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E9"/>
    <w:rsid w:val="005F2AFA"/>
    <w:rsid w:val="0081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csc6q</dc:creator>
  <cp:lastModifiedBy>csc6q</cp:lastModifiedBy>
  <cp:revision>1</cp:revision>
  <dcterms:created xsi:type="dcterms:W3CDTF">2012-05-14T21:55:00Z</dcterms:created>
  <dcterms:modified xsi:type="dcterms:W3CDTF">2012-05-14T22:05:00Z</dcterms:modified>
</cp:coreProperties>
</file>