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DC" w:rsidRDefault="0039503C" w:rsidP="0039503C">
      <w:pPr>
        <w:spacing w:after="0" w:line="240" w:lineRule="auto"/>
        <w:jc w:val="center"/>
        <w:rPr>
          <w:rFonts w:eastAsia="Times New Roman" w:cs="Arial"/>
          <w:b/>
          <w:sz w:val="28"/>
          <w:szCs w:val="28"/>
        </w:rPr>
      </w:pPr>
      <w:proofErr w:type="spellStart"/>
      <w:r w:rsidRPr="0039503C">
        <w:rPr>
          <w:rFonts w:eastAsia="Times New Roman" w:cs="Arial"/>
          <w:b/>
          <w:sz w:val="28"/>
          <w:szCs w:val="28"/>
        </w:rPr>
        <w:t>Ann_Accts_Micro_Entities</w:t>
      </w:r>
      <w:proofErr w:type="spellEnd"/>
    </w:p>
    <w:p w:rsidR="0039503C" w:rsidRDefault="0039503C" w:rsidP="0039503C">
      <w:pPr>
        <w:spacing w:after="0" w:line="240" w:lineRule="auto"/>
        <w:jc w:val="center"/>
        <w:rPr>
          <w:b/>
          <w:sz w:val="28"/>
          <w:szCs w:val="28"/>
        </w:rPr>
      </w:pPr>
    </w:p>
    <w:p w:rsidR="0029072D" w:rsidRPr="001C1EE3" w:rsidRDefault="00892653" w:rsidP="0029072D">
      <w:r w:rsidRPr="0029072D">
        <w:rPr>
          <w:b/>
        </w:rPr>
        <w:t>ID</w:t>
      </w:r>
      <w:r w:rsidR="0029072D" w:rsidRPr="0029072D">
        <w:rPr>
          <w:b/>
        </w:rPr>
        <w:t>:</w:t>
      </w:r>
      <w:r w:rsidR="0029072D">
        <w:t xml:space="preserve"> </w:t>
      </w:r>
      <w:r w:rsidR="008B4EC6">
        <w:t>1</w:t>
      </w:r>
      <w:r w:rsidR="0039503C">
        <w:t>08</w:t>
      </w:r>
      <w:r w:rsidR="006B0428">
        <w:t xml:space="preserve"> </w:t>
      </w:r>
      <w:r w:rsidR="00EC6F28">
        <w:t xml:space="preserve"> </w:t>
      </w:r>
      <w:r w:rsidR="001C1EE3">
        <w:t xml:space="preserve">  </w:t>
      </w:r>
      <w:r w:rsidR="0029072D" w:rsidRPr="0029072D">
        <w:rPr>
          <w:b/>
        </w:rPr>
        <w:t>Code:</w:t>
      </w:r>
      <w:r w:rsidR="0029072D">
        <w:t xml:space="preserve"> </w:t>
      </w:r>
      <w:proofErr w:type="gramStart"/>
      <w:r w:rsidR="0029072D" w:rsidRPr="0029072D">
        <w:t>COM(</w:t>
      </w:r>
      <w:proofErr w:type="gramEnd"/>
      <w:r w:rsidR="0029072D" w:rsidRPr="0029072D">
        <w:t>20</w:t>
      </w:r>
      <w:r w:rsidR="00036F53">
        <w:t>09</w:t>
      </w:r>
      <w:r w:rsidR="0029072D" w:rsidRPr="0029072D">
        <w:t>)</w:t>
      </w:r>
      <w:r w:rsidR="00036F53">
        <w:t>83</w:t>
      </w:r>
      <w:r w:rsidR="006B0428">
        <w:t xml:space="preserve"> </w:t>
      </w:r>
      <w:r w:rsidR="001C1EE3">
        <w:t xml:space="preserve">   </w:t>
      </w:r>
      <w:r w:rsidR="006B5084" w:rsidRPr="006B5084">
        <w:rPr>
          <w:b/>
        </w:rPr>
        <w:t>Type:</w:t>
      </w:r>
      <w:r w:rsidR="006B5084">
        <w:t xml:space="preserve"> </w:t>
      </w:r>
      <w:r w:rsidR="008B4EC6">
        <w:t>Directive</w:t>
      </w:r>
      <w:r w:rsidR="006B0428">
        <w:t xml:space="preserve"> </w:t>
      </w:r>
      <w:r w:rsidR="001C1EE3">
        <w:t xml:space="preserve">   </w:t>
      </w:r>
      <w:r w:rsidR="00EC6F28" w:rsidRPr="00EC6F28">
        <w:rPr>
          <w:b/>
        </w:rPr>
        <w:t>Proposal</w:t>
      </w:r>
      <w:r w:rsidR="00EC6F28">
        <w:t xml:space="preserve"> </w:t>
      </w:r>
      <w:r w:rsidR="006B0428" w:rsidRPr="0029072D">
        <w:rPr>
          <w:b/>
        </w:rPr>
        <w:t>Date:</w:t>
      </w:r>
      <w:r w:rsidR="006B0428">
        <w:rPr>
          <w:b/>
        </w:rPr>
        <w:t xml:space="preserve"> </w:t>
      </w:r>
      <w:r w:rsidR="008B4EC6">
        <w:t>29</w:t>
      </w:r>
      <w:r w:rsidR="00E00192">
        <w:t>.</w:t>
      </w:r>
      <w:r w:rsidR="008B4EC6">
        <w:t>3</w:t>
      </w:r>
      <w:r w:rsidR="00E00192">
        <w:t>.10</w:t>
      </w:r>
      <w:r w:rsidR="006B0428">
        <w:t xml:space="preserve">  </w:t>
      </w:r>
      <w:r w:rsidR="001C1EE3">
        <w:t xml:space="preserve">  </w:t>
      </w:r>
      <w:r w:rsidR="00EC6F28" w:rsidRPr="00EC6F28">
        <w:rPr>
          <w:b/>
        </w:rPr>
        <w:t>Current Status</w:t>
      </w:r>
      <w:r w:rsidR="006B0428" w:rsidRPr="006B0428">
        <w:rPr>
          <w:b/>
        </w:rPr>
        <w:t>:</w:t>
      </w:r>
      <w:r w:rsidR="001C1EE3">
        <w:rPr>
          <w:b/>
        </w:rPr>
        <w:t xml:space="preserve"> </w:t>
      </w:r>
      <w:r w:rsidR="001C1EE3" w:rsidRPr="001C1EE3">
        <w:t>Finalised</w:t>
      </w:r>
      <w:r w:rsidR="006B0428" w:rsidRPr="001C1EE3">
        <w:t xml:space="preserve">           </w:t>
      </w:r>
    </w:p>
    <w:p w:rsidR="00036F53" w:rsidRPr="00036F53" w:rsidRDefault="0029072D" w:rsidP="00036F53">
      <w:pPr>
        <w:rPr>
          <w:rFonts w:eastAsia="Times New Roman"/>
          <w:color w:val="000000"/>
          <w:sz w:val="20"/>
          <w:szCs w:val="20"/>
        </w:rPr>
      </w:pPr>
      <w:r w:rsidRPr="00036F53">
        <w:rPr>
          <w:b/>
          <w:sz w:val="20"/>
          <w:szCs w:val="20"/>
        </w:rPr>
        <w:t>Title:</w:t>
      </w:r>
      <w:r w:rsidRPr="00036F53">
        <w:rPr>
          <w:sz w:val="20"/>
          <w:szCs w:val="20"/>
        </w:rPr>
        <w:t xml:space="preserve"> </w:t>
      </w:r>
      <w:r w:rsidR="00036F53" w:rsidRPr="00036F53">
        <w:rPr>
          <w:rFonts w:eastAsia="Times New Roman"/>
          <w:color w:val="000000"/>
          <w:sz w:val="20"/>
          <w:szCs w:val="20"/>
        </w:rPr>
        <w:t>Proposal for a DIRECTIVE amending Council Directive 78/660/EEC on the annual accounts of certain types of companies as regards micro-entities (Text with EEA relevance)</w:t>
      </w:r>
    </w:p>
    <w:p w:rsidR="00770FDD" w:rsidRDefault="006B0428" w:rsidP="00770FDD">
      <w:r>
        <w:rPr>
          <w:b/>
        </w:rPr>
        <w:t xml:space="preserve">Identified Commission Official: </w:t>
      </w:r>
      <w:r w:rsidR="00E00192">
        <w:t xml:space="preserve">DG </w:t>
      </w:r>
      <w:r w:rsidR="00036F53">
        <w:t>Market</w:t>
      </w:r>
      <w:r w:rsidR="00770FDD">
        <w:t xml:space="preserve"> </w:t>
      </w:r>
      <w:bookmarkStart w:id="0" w:name="_GoBack"/>
      <w:bookmarkEnd w:id="0"/>
    </w:p>
    <w:p w:rsidR="00384518" w:rsidRDefault="00417589" w:rsidP="00E00192">
      <w:pPr>
        <w:autoSpaceDE w:val="0"/>
        <w:autoSpaceDN w:val="0"/>
        <w:adjustRightInd w:val="0"/>
        <w:spacing w:after="0" w:line="240" w:lineRule="auto"/>
      </w:pPr>
      <w:r>
        <w:rPr>
          <w:b/>
        </w:rPr>
        <w:t>Objective:</w:t>
      </w:r>
      <w:r w:rsidR="00DB1991">
        <w:t xml:space="preserve"> </w:t>
      </w:r>
      <w:r w:rsidRPr="00417589">
        <w:t xml:space="preserve"> </w:t>
      </w:r>
    </w:p>
    <w:p w:rsidR="00247D08" w:rsidRDefault="009A0A45" w:rsidP="00E00192">
      <w:pPr>
        <w:autoSpaceDE w:val="0"/>
        <w:autoSpaceDN w:val="0"/>
        <w:adjustRightInd w:val="0"/>
        <w:spacing w:after="0" w:line="240" w:lineRule="auto"/>
      </w:pPr>
      <w:r>
        <w:t>T</w:t>
      </w:r>
      <w:r w:rsidR="00431455">
        <w:t xml:space="preserve">he objective was to simplify the financial </w:t>
      </w:r>
      <w:r>
        <w:t xml:space="preserve">reporting requirements </w:t>
      </w:r>
      <w:r w:rsidR="00431455">
        <w:t>(</w:t>
      </w:r>
      <w:r>
        <w:t>annual accounts</w:t>
      </w:r>
      <w:r w:rsidR="00431455">
        <w:t>)</w:t>
      </w:r>
      <w:r>
        <w:t xml:space="preserve"> of certain small companies</w:t>
      </w:r>
      <w:r w:rsidR="00247D08">
        <w:t xml:space="preserve"> – ‘reduce the administrative burden’</w:t>
      </w:r>
      <w:r>
        <w:t>.</w:t>
      </w:r>
      <w:r w:rsidR="006F78A3">
        <w:t xml:space="preserve"> This involved defining a sub category of SME as a micro-entity.</w:t>
      </w:r>
      <w:r w:rsidR="00431455">
        <w:t xml:space="preserve"> The aim was to reduce what had come to be viewed as an excessive and unnecessary administrative burden on these smaller companies. The proposal attempts to align reporting standards for this </w:t>
      </w:r>
      <w:r w:rsidR="00247D08">
        <w:t>subcategory</w:t>
      </w:r>
      <w:r w:rsidR="00431455">
        <w:t xml:space="preserve"> of business to the actual requirements of those using the financial information, whilst</w:t>
      </w:r>
      <w:r w:rsidR="00247D08">
        <w:t xml:space="preserve"> providing stakeholders with sufficient protection.</w:t>
      </w:r>
    </w:p>
    <w:p w:rsidR="00247D08" w:rsidRDefault="00247D08" w:rsidP="00E00192">
      <w:pPr>
        <w:autoSpaceDE w:val="0"/>
        <w:autoSpaceDN w:val="0"/>
        <w:adjustRightInd w:val="0"/>
        <w:spacing w:after="0" w:line="240" w:lineRule="auto"/>
      </w:pPr>
    </w:p>
    <w:p w:rsidR="00A6648A" w:rsidRDefault="006B0428" w:rsidP="00E00192">
      <w:pPr>
        <w:autoSpaceDE w:val="0"/>
        <w:autoSpaceDN w:val="0"/>
        <w:adjustRightInd w:val="0"/>
        <w:spacing w:after="0" w:line="240" w:lineRule="auto"/>
        <w:rPr>
          <w:b/>
        </w:rPr>
      </w:pPr>
      <w:r>
        <w:rPr>
          <w:b/>
        </w:rPr>
        <w:t>Background</w:t>
      </w:r>
      <w:r w:rsidR="003A1C31" w:rsidRPr="00A27BA8">
        <w:rPr>
          <w:b/>
        </w:rPr>
        <w:t xml:space="preserve">: </w:t>
      </w:r>
    </w:p>
    <w:p w:rsidR="009B2842" w:rsidRDefault="00E22601" w:rsidP="00C529A3">
      <w:pPr>
        <w:autoSpaceDE w:val="0"/>
        <w:autoSpaceDN w:val="0"/>
        <w:adjustRightInd w:val="0"/>
        <w:spacing w:after="0" w:line="240" w:lineRule="auto"/>
      </w:pPr>
      <w:r>
        <w:t xml:space="preserve">The broader context for this proposal is the Simplification Rolling Programme of the Commission, which </w:t>
      </w:r>
      <w:r w:rsidR="00E97B87">
        <w:t xml:space="preserve">is itself part of the ‘Better Regulation Agenda’. More specifically, the </w:t>
      </w:r>
      <w:r w:rsidR="00036F53" w:rsidRPr="00036F53">
        <w:t xml:space="preserve">proposal was initially conceived as part of a much larger review of accounting legislation, which was ultimately proposed in 2011. </w:t>
      </w:r>
      <w:r w:rsidR="00247D08">
        <w:t xml:space="preserve">The main thrust of which is the simplification of accounting and </w:t>
      </w:r>
      <w:r w:rsidR="009B2842">
        <w:t>auditing</w:t>
      </w:r>
      <w:r w:rsidR="00247D08">
        <w:t xml:space="preserve"> rules. </w:t>
      </w:r>
      <w:r w:rsidR="00036F53" w:rsidRPr="00036F53">
        <w:t xml:space="preserve">However, </w:t>
      </w:r>
      <w:r w:rsidR="00036F53">
        <w:t xml:space="preserve">as a result of the </w:t>
      </w:r>
      <w:r w:rsidR="00036F53" w:rsidRPr="00036F53">
        <w:t xml:space="preserve">financial crisis </w:t>
      </w:r>
      <w:r w:rsidR="00036F53">
        <w:t>the Commission was faced with calls for action to help small businesses, and brought forward part of what would later</w:t>
      </w:r>
      <w:r w:rsidR="00247D08">
        <w:t xml:space="preserve"> be </w:t>
      </w:r>
      <w:r w:rsidR="00036F53">
        <w:t xml:space="preserve">proposed. </w:t>
      </w:r>
      <w:r w:rsidR="00247D08">
        <w:t xml:space="preserve">Hence the scope of this proposal is fairly </w:t>
      </w:r>
      <w:r w:rsidR="00036F53">
        <w:t>limited.</w:t>
      </w:r>
      <w:r w:rsidR="00247D08">
        <w:t xml:space="preserve"> </w:t>
      </w:r>
      <w:r w:rsidR="009B2842">
        <w:t>It builds on the Commission’s 2008 publication for ‘A European Economic Recovery Plan’, which specifically pledged to ‘remove(</w:t>
      </w:r>
      <w:proofErr w:type="spellStart"/>
      <w:r w:rsidR="009B2842">
        <w:t>ing</w:t>
      </w:r>
      <w:proofErr w:type="spellEnd"/>
      <w:r w:rsidR="009B2842">
        <w:t xml:space="preserve">) the requirement for micro-enterprises to prepare annual accounts’ </w:t>
      </w:r>
    </w:p>
    <w:p w:rsidR="00E22601" w:rsidRDefault="009B2842" w:rsidP="00E00192">
      <w:pPr>
        <w:autoSpaceDE w:val="0"/>
        <w:autoSpaceDN w:val="0"/>
        <w:adjustRightInd w:val="0"/>
        <w:spacing w:after="0" w:line="240" w:lineRule="auto"/>
      </w:pPr>
      <w:r>
        <w:t>The legal framework that the proposal amend</w:t>
      </w:r>
      <w:r w:rsidR="00E22601">
        <w:t xml:space="preserve">s </w:t>
      </w:r>
      <w:r>
        <w:t>is the 4</w:t>
      </w:r>
      <w:r w:rsidRPr="009B2842">
        <w:rPr>
          <w:vertAlign w:val="superscript"/>
        </w:rPr>
        <w:t>th</w:t>
      </w:r>
      <w:r>
        <w:t xml:space="preserve"> Company Law Directives</w:t>
      </w:r>
      <w:r w:rsidR="00E22601">
        <w:t>. This accounting Directives (together with the 7</w:t>
      </w:r>
      <w:r w:rsidR="00E22601" w:rsidRPr="00E22601">
        <w:rPr>
          <w:vertAlign w:val="superscript"/>
        </w:rPr>
        <w:t>th</w:t>
      </w:r>
      <w:r w:rsidR="00E22601">
        <w:t xml:space="preserve">) require micro entities to conform to the same stringent reporting standards as large companies. </w:t>
      </w:r>
    </w:p>
    <w:p w:rsidR="00E22601" w:rsidRDefault="00E22601" w:rsidP="00E00192">
      <w:pPr>
        <w:autoSpaceDE w:val="0"/>
        <w:autoSpaceDN w:val="0"/>
        <w:adjustRightInd w:val="0"/>
        <w:spacing w:after="0" w:line="240" w:lineRule="auto"/>
      </w:pPr>
    </w:p>
    <w:p w:rsidR="00935FAB" w:rsidRDefault="00655FCC" w:rsidP="00E00192">
      <w:pPr>
        <w:autoSpaceDE w:val="0"/>
        <w:autoSpaceDN w:val="0"/>
        <w:adjustRightInd w:val="0"/>
        <w:spacing w:after="0" w:line="240" w:lineRule="auto"/>
        <w:rPr>
          <w:b/>
        </w:rPr>
      </w:pPr>
      <w:r w:rsidRPr="00A27BA8">
        <w:rPr>
          <w:b/>
        </w:rPr>
        <w:t>Con</w:t>
      </w:r>
      <w:r>
        <w:rPr>
          <w:b/>
        </w:rPr>
        <w:t>sultation</w:t>
      </w:r>
      <w:r w:rsidRPr="00A27BA8">
        <w:rPr>
          <w:b/>
        </w:rPr>
        <w:t>:</w:t>
      </w:r>
      <w:r w:rsidR="0004588D">
        <w:rPr>
          <w:b/>
        </w:rPr>
        <w:t xml:space="preserve"> </w:t>
      </w:r>
    </w:p>
    <w:p w:rsidR="004C6D06" w:rsidRDefault="002506F1" w:rsidP="00E00192">
      <w:pPr>
        <w:autoSpaceDE w:val="0"/>
        <w:autoSpaceDN w:val="0"/>
        <w:adjustRightInd w:val="0"/>
        <w:spacing w:after="0" w:line="240" w:lineRule="auto"/>
      </w:pPr>
      <w:r w:rsidRPr="002506F1">
        <w:t xml:space="preserve">From Dec 2006 discussions were held in the Accounting Regulatory Committee (ARC), </w:t>
      </w:r>
      <w:r>
        <w:t xml:space="preserve">leading to a Commission publication in July 2007. The ensuing public consultation was apparently broadly supportive the plan to define </w:t>
      </w:r>
      <w:r w:rsidR="004C6D06">
        <w:t>micro-entities and exclude them from certain accounting requirements.</w:t>
      </w:r>
    </w:p>
    <w:p w:rsidR="004C6D06" w:rsidRDefault="004C6D06" w:rsidP="004C6D06">
      <w:pPr>
        <w:autoSpaceDE w:val="0"/>
        <w:autoSpaceDN w:val="0"/>
        <w:adjustRightInd w:val="0"/>
        <w:spacing w:after="0" w:line="240" w:lineRule="auto"/>
      </w:pPr>
      <w:r>
        <w:t>In addition a ‘High Level Group of Independent Stakeholders on Administrative Burdens’, stated that a number of existing accounting requirements are unnecessary [http://ec.europa.eu/enterprise/admin-burdens-reduction/docs/080710_hlg_op_comp_law_final.pdf]</w:t>
      </w:r>
    </w:p>
    <w:p w:rsidR="009A3413" w:rsidRDefault="009A3413" w:rsidP="00A27BA8">
      <w:pPr>
        <w:autoSpaceDE w:val="0"/>
        <w:autoSpaceDN w:val="0"/>
        <w:adjustRightInd w:val="0"/>
        <w:spacing w:after="0" w:line="240" w:lineRule="auto"/>
      </w:pPr>
      <w:r>
        <w:t>The Commission states that the majority of replies to its public consultation were in favour of exempting micro entities from accounting directive requirements (4</w:t>
      </w:r>
      <w:r w:rsidRPr="009A3413">
        <w:rPr>
          <w:vertAlign w:val="superscript"/>
        </w:rPr>
        <w:t>th</w:t>
      </w:r>
      <w:r>
        <w:t xml:space="preserve"> CLD). Those against were mainly accountants and auditors.</w:t>
      </w:r>
    </w:p>
    <w:p w:rsidR="00935FAB" w:rsidRPr="002506F1" w:rsidRDefault="009A3413" w:rsidP="00A27BA8">
      <w:pPr>
        <w:autoSpaceDE w:val="0"/>
        <w:autoSpaceDN w:val="0"/>
        <w:adjustRightInd w:val="0"/>
        <w:spacing w:after="0" w:line="240" w:lineRule="auto"/>
      </w:pPr>
      <w:r>
        <w:t xml:space="preserve"> </w:t>
      </w:r>
    </w:p>
    <w:p w:rsidR="00B41C09" w:rsidRDefault="00AA461D" w:rsidP="00E00192">
      <w:pPr>
        <w:autoSpaceDE w:val="0"/>
        <w:autoSpaceDN w:val="0"/>
        <w:adjustRightInd w:val="0"/>
        <w:spacing w:after="0" w:line="240" w:lineRule="auto"/>
      </w:pPr>
      <w:r w:rsidRPr="00AA461D">
        <w:rPr>
          <w:b/>
        </w:rPr>
        <w:t>Issues:</w:t>
      </w:r>
      <w:r>
        <w:t xml:space="preserve"> </w:t>
      </w:r>
    </w:p>
    <w:p w:rsidR="004468CC" w:rsidRDefault="004468CC" w:rsidP="004468CC">
      <w:pPr>
        <w:pStyle w:val="ListParagraph"/>
        <w:numPr>
          <w:ilvl w:val="0"/>
          <w:numId w:val="2"/>
        </w:numPr>
        <w:autoSpaceDE w:val="0"/>
        <w:autoSpaceDN w:val="0"/>
        <w:adjustRightInd w:val="0"/>
        <w:spacing w:after="0" w:line="240" w:lineRule="auto"/>
      </w:pPr>
      <w:r>
        <w:t>Whether micro-entities should be exempt or not, from certain accounting requirements</w:t>
      </w:r>
    </w:p>
    <w:p w:rsidR="00B03ED6" w:rsidRDefault="004468CC" w:rsidP="008B575B">
      <w:pPr>
        <w:pStyle w:val="ListParagraph"/>
        <w:numPr>
          <w:ilvl w:val="0"/>
          <w:numId w:val="2"/>
        </w:numPr>
        <w:autoSpaceDE w:val="0"/>
        <w:autoSpaceDN w:val="0"/>
        <w:adjustRightInd w:val="0"/>
        <w:spacing w:after="0" w:line="240" w:lineRule="auto"/>
      </w:pPr>
      <w:r>
        <w:t>Whet</w:t>
      </w:r>
      <w:r w:rsidR="009A3413">
        <w:t>her micro-entity exemption from the accounting</w:t>
      </w:r>
      <w:r>
        <w:t xml:space="preserve"> d</w:t>
      </w:r>
      <w:r w:rsidR="009A3413">
        <w:t>irective is obligatory or in the ‘gift’ of each member state</w:t>
      </w:r>
    </w:p>
    <w:p w:rsidR="00C529A3" w:rsidRDefault="00AA461D" w:rsidP="00A27BA8">
      <w:pPr>
        <w:autoSpaceDE w:val="0"/>
        <w:autoSpaceDN w:val="0"/>
        <w:adjustRightInd w:val="0"/>
        <w:spacing w:after="0" w:line="240" w:lineRule="auto"/>
      </w:pPr>
      <w:r w:rsidRPr="00AA461D">
        <w:rPr>
          <w:b/>
        </w:rPr>
        <w:t xml:space="preserve">Frames: </w:t>
      </w:r>
    </w:p>
    <w:p w:rsidR="004468CC" w:rsidRPr="004468CC" w:rsidRDefault="004468CC" w:rsidP="004468CC">
      <w:pPr>
        <w:pStyle w:val="ListParagraph"/>
        <w:numPr>
          <w:ilvl w:val="0"/>
          <w:numId w:val="3"/>
        </w:numPr>
        <w:autoSpaceDE w:val="0"/>
        <w:autoSpaceDN w:val="0"/>
        <w:adjustRightInd w:val="0"/>
        <w:spacing w:after="0" w:line="240" w:lineRule="auto"/>
      </w:pPr>
      <w:r w:rsidRPr="004468CC">
        <w:t>Good for Business</w:t>
      </w:r>
    </w:p>
    <w:p w:rsidR="00770FDD" w:rsidRDefault="004468CC" w:rsidP="00A27BA8">
      <w:pPr>
        <w:pStyle w:val="ListParagraph"/>
        <w:numPr>
          <w:ilvl w:val="0"/>
          <w:numId w:val="3"/>
        </w:numPr>
        <w:autoSpaceDE w:val="0"/>
        <w:autoSpaceDN w:val="0"/>
        <w:adjustRightInd w:val="0"/>
        <w:spacing w:after="0" w:line="240" w:lineRule="auto"/>
      </w:pPr>
      <w:r w:rsidRPr="004468CC">
        <w:t>Economic recovery</w:t>
      </w:r>
    </w:p>
    <w:p w:rsidR="004468CC" w:rsidRPr="004468CC" w:rsidRDefault="004468CC" w:rsidP="00A27BA8">
      <w:pPr>
        <w:pStyle w:val="ListParagraph"/>
        <w:numPr>
          <w:ilvl w:val="0"/>
          <w:numId w:val="3"/>
        </w:numPr>
        <w:autoSpaceDE w:val="0"/>
        <w:autoSpaceDN w:val="0"/>
        <w:adjustRightInd w:val="0"/>
        <w:spacing w:after="0" w:line="240" w:lineRule="auto"/>
      </w:pPr>
      <w:r>
        <w:t>Reducing ‘red tape’</w:t>
      </w:r>
    </w:p>
    <w:sectPr w:rsidR="004468CC" w:rsidRPr="004468CC" w:rsidSect="00EC6F28">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B58B9"/>
    <w:multiLevelType w:val="hybridMultilevel"/>
    <w:tmpl w:val="A5FEA3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B04539"/>
    <w:multiLevelType w:val="hybridMultilevel"/>
    <w:tmpl w:val="F18AF348"/>
    <w:lvl w:ilvl="0" w:tplc="3AECEEA0">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
    <w:nsid w:val="6E5F706B"/>
    <w:multiLevelType w:val="hybridMultilevel"/>
    <w:tmpl w:val="986260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556BF7"/>
    <w:rsid w:val="00036F53"/>
    <w:rsid w:val="0004588D"/>
    <w:rsid w:val="00053F9F"/>
    <w:rsid w:val="0007481A"/>
    <w:rsid w:val="000C32FB"/>
    <w:rsid w:val="00146633"/>
    <w:rsid w:val="0014697E"/>
    <w:rsid w:val="001C1A81"/>
    <w:rsid w:val="001C1EE3"/>
    <w:rsid w:val="00207217"/>
    <w:rsid w:val="00247D08"/>
    <w:rsid w:val="002506F1"/>
    <w:rsid w:val="002627E2"/>
    <w:rsid w:val="0029072D"/>
    <w:rsid w:val="002C38E4"/>
    <w:rsid w:val="002C77E2"/>
    <w:rsid w:val="002F5824"/>
    <w:rsid w:val="003807C5"/>
    <w:rsid w:val="00384518"/>
    <w:rsid w:val="0039503C"/>
    <w:rsid w:val="003A1C31"/>
    <w:rsid w:val="003B5EE7"/>
    <w:rsid w:val="003D30C4"/>
    <w:rsid w:val="003F7531"/>
    <w:rsid w:val="004048C6"/>
    <w:rsid w:val="00417589"/>
    <w:rsid w:val="00431455"/>
    <w:rsid w:val="004468CC"/>
    <w:rsid w:val="00481C70"/>
    <w:rsid w:val="004867B2"/>
    <w:rsid w:val="0049353A"/>
    <w:rsid w:val="004962DC"/>
    <w:rsid w:val="004A2A85"/>
    <w:rsid w:val="004B13D5"/>
    <w:rsid w:val="004C654F"/>
    <w:rsid w:val="004C6D06"/>
    <w:rsid w:val="004D2041"/>
    <w:rsid w:val="00501C65"/>
    <w:rsid w:val="0055099D"/>
    <w:rsid w:val="00556BF7"/>
    <w:rsid w:val="005E4229"/>
    <w:rsid w:val="00655FCC"/>
    <w:rsid w:val="00670167"/>
    <w:rsid w:val="00681212"/>
    <w:rsid w:val="006B0428"/>
    <w:rsid w:val="006B5084"/>
    <w:rsid w:val="006D0D74"/>
    <w:rsid w:val="006D5082"/>
    <w:rsid w:val="006F78A3"/>
    <w:rsid w:val="007166B2"/>
    <w:rsid w:val="00770FDD"/>
    <w:rsid w:val="00795556"/>
    <w:rsid w:val="00806E2C"/>
    <w:rsid w:val="00806E2D"/>
    <w:rsid w:val="00807372"/>
    <w:rsid w:val="00816050"/>
    <w:rsid w:val="00850FDA"/>
    <w:rsid w:val="00853A6E"/>
    <w:rsid w:val="008656B6"/>
    <w:rsid w:val="008720E6"/>
    <w:rsid w:val="008830C8"/>
    <w:rsid w:val="00892653"/>
    <w:rsid w:val="008B4EC6"/>
    <w:rsid w:val="008B575B"/>
    <w:rsid w:val="008D0F8E"/>
    <w:rsid w:val="008D44EE"/>
    <w:rsid w:val="00906E2C"/>
    <w:rsid w:val="00935FAB"/>
    <w:rsid w:val="009A0A45"/>
    <w:rsid w:val="009A14E7"/>
    <w:rsid w:val="009A3413"/>
    <w:rsid w:val="009B035C"/>
    <w:rsid w:val="009B2842"/>
    <w:rsid w:val="009F4A8E"/>
    <w:rsid w:val="00A228CB"/>
    <w:rsid w:val="00A27BA8"/>
    <w:rsid w:val="00A6648A"/>
    <w:rsid w:val="00A66CB9"/>
    <w:rsid w:val="00A704F6"/>
    <w:rsid w:val="00A956F7"/>
    <w:rsid w:val="00AA1826"/>
    <w:rsid w:val="00AA461D"/>
    <w:rsid w:val="00AA7E10"/>
    <w:rsid w:val="00B03ED6"/>
    <w:rsid w:val="00B33DA1"/>
    <w:rsid w:val="00B41C09"/>
    <w:rsid w:val="00BA1D3E"/>
    <w:rsid w:val="00BD0841"/>
    <w:rsid w:val="00BD688D"/>
    <w:rsid w:val="00C3274B"/>
    <w:rsid w:val="00C52377"/>
    <w:rsid w:val="00C529A3"/>
    <w:rsid w:val="00C65C0B"/>
    <w:rsid w:val="00CA7E73"/>
    <w:rsid w:val="00CC719D"/>
    <w:rsid w:val="00D33499"/>
    <w:rsid w:val="00D37178"/>
    <w:rsid w:val="00DA0E33"/>
    <w:rsid w:val="00DB1991"/>
    <w:rsid w:val="00E00192"/>
    <w:rsid w:val="00E22601"/>
    <w:rsid w:val="00E844AC"/>
    <w:rsid w:val="00E97B87"/>
    <w:rsid w:val="00EA3C96"/>
    <w:rsid w:val="00EC21B4"/>
    <w:rsid w:val="00EC6F28"/>
    <w:rsid w:val="00ED7DD3"/>
    <w:rsid w:val="00EF13B0"/>
    <w:rsid w:val="00F34DEE"/>
    <w:rsid w:val="00F56F11"/>
    <w:rsid w:val="00F7267C"/>
    <w:rsid w:val="00FD6B91"/>
    <w:rsid w:val="00FF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61D"/>
    <w:rPr>
      <w:rFonts w:ascii="Tahoma" w:hAnsi="Tahoma" w:cs="Tahoma"/>
      <w:sz w:val="16"/>
      <w:szCs w:val="16"/>
    </w:rPr>
  </w:style>
  <w:style w:type="paragraph" w:styleId="ListParagraph">
    <w:name w:val="List Paragraph"/>
    <w:basedOn w:val="Normal"/>
    <w:uiPriority w:val="34"/>
    <w:qFormat/>
    <w:rsid w:val="004468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00405">
      <w:bodyDiv w:val="1"/>
      <w:marLeft w:val="0"/>
      <w:marRight w:val="0"/>
      <w:marTop w:val="0"/>
      <w:marBottom w:val="0"/>
      <w:divBdr>
        <w:top w:val="none" w:sz="0" w:space="0" w:color="auto"/>
        <w:left w:val="none" w:sz="0" w:space="0" w:color="auto"/>
        <w:bottom w:val="none" w:sz="0" w:space="0" w:color="auto"/>
        <w:right w:val="none" w:sz="0" w:space="0" w:color="auto"/>
      </w:divBdr>
    </w:div>
    <w:div w:id="10951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08B3-890F-4290-95DF-34DAF5EB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729A7588.dotm</Template>
  <TotalTime>207</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2011-12-12T12:00:00Z</cp:lastPrinted>
  <dcterms:created xsi:type="dcterms:W3CDTF">2012-06-20T08:53:00Z</dcterms:created>
  <dcterms:modified xsi:type="dcterms:W3CDTF">2012-09-28T13:36:00Z</dcterms:modified>
</cp:coreProperties>
</file>